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41D" w:rsidRPr="0064658B" w:rsidRDefault="0081141D" w:rsidP="0081141D">
      <w:pPr>
        <w:pStyle w:val="Nadpis1"/>
        <w:tabs>
          <w:tab w:val="left" w:pos="5190"/>
        </w:tabs>
        <w:spacing w:before="75" w:after="150" w:line="600" w:lineRule="atLeast"/>
        <w:rPr>
          <w:rFonts w:asciiTheme="minorHAnsi" w:hAnsiTheme="minorHAnsi" w:cstheme="minorHAnsi"/>
          <w:color w:val="auto"/>
        </w:rPr>
      </w:pPr>
      <w:r w:rsidRPr="0064658B">
        <w:rPr>
          <w:rFonts w:asciiTheme="minorHAnsi" w:hAnsiTheme="minorHAnsi" w:cstheme="minorHAnsi"/>
          <w:color w:val="auto"/>
        </w:rPr>
        <w:t>Podpůrná opatření</w:t>
      </w:r>
      <w:r w:rsidRPr="0064658B">
        <w:rPr>
          <w:rFonts w:asciiTheme="minorHAnsi" w:hAnsiTheme="minorHAnsi" w:cstheme="minorHAnsi"/>
          <w:color w:val="auto"/>
        </w:rPr>
        <w:tab/>
      </w:r>
    </w:p>
    <w:p w:rsidR="0064658B" w:rsidRPr="0064658B" w:rsidRDefault="0064658B" w:rsidP="0064658B">
      <w:pPr>
        <w:pStyle w:val="Normlnweb"/>
        <w:jc w:val="both"/>
        <w:rPr>
          <w:rFonts w:asciiTheme="minorHAnsi" w:hAnsiTheme="minorHAnsi" w:cstheme="minorHAnsi"/>
        </w:rPr>
      </w:pPr>
      <w:r w:rsidRPr="0064658B">
        <w:rPr>
          <w:rFonts w:asciiTheme="minorHAnsi" w:hAnsiTheme="minorHAnsi" w:cstheme="minorHAnsi"/>
        </w:rPr>
        <w:t>V naší škole se vzdělávají žáci se širokou škálou speciálních vzdělávacích potřeb. Snažíme se podporovat žáky z odlišného kulturního prostředí i z odlišných životních podmínek. Při vzdělávání těchto žáků úzce spolupracujeme s pedagogicko-psychologickou poradnou (PPP) a se speciálně pedagogickým centrem (SPC) v Náchodě.</w:t>
      </w:r>
    </w:p>
    <w:p w:rsidR="0064658B" w:rsidRPr="0064658B" w:rsidRDefault="0064658B" w:rsidP="0064658B">
      <w:pPr>
        <w:pStyle w:val="Normlnweb"/>
        <w:jc w:val="both"/>
        <w:rPr>
          <w:rFonts w:asciiTheme="minorHAnsi" w:hAnsiTheme="minorHAnsi" w:cstheme="minorHAnsi"/>
        </w:rPr>
      </w:pPr>
      <w:r w:rsidRPr="0064658B">
        <w:rPr>
          <w:rFonts w:asciiTheme="minorHAnsi" w:hAnsiTheme="minorHAnsi" w:cstheme="minorHAnsi"/>
        </w:rPr>
        <w:t>Podpora inkluzivního vzdělávání se legislativně opírá o novely vyhlášek č. 72/2005 Sb., o poskytování poradenských služeb ve školách a školských poradenských zařízeních, a č. 27/2016 Sb., o vzdělávání žáků se speciálními vzdělávacími potřebami a žáků nadaných, s účinností od 1. září 2016. Předmětem úpravy v této posledně uvedené vyhlášce jsou pravidla vzdělávání žáků se speciálními vzdělávacími potřebami, zejména pak pravidla poskytování podpůrných opatření.</w:t>
      </w:r>
    </w:p>
    <w:p w:rsidR="0064658B" w:rsidRPr="0064658B" w:rsidRDefault="0064658B" w:rsidP="0064658B">
      <w:pPr>
        <w:pStyle w:val="Normlnweb"/>
        <w:jc w:val="both"/>
        <w:rPr>
          <w:rFonts w:asciiTheme="minorHAnsi" w:hAnsiTheme="minorHAnsi" w:cstheme="minorHAnsi"/>
        </w:rPr>
      </w:pPr>
      <w:r w:rsidRPr="0064658B">
        <w:rPr>
          <w:rFonts w:asciiTheme="minorHAnsi" w:hAnsiTheme="minorHAnsi" w:cstheme="minorHAnsi"/>
        </w:rPr>
        <w:t>Zákon stanoví pět stupňů podpůrných opatření. Škola poskytuje 1. stupeň podpůrných opatření i bez konzultace a rozhodnutí pedagogicko-psychologické poradny nebo speciálně pedagogického centra. Ve škole působí školní poradenské pracoviště, které se podílí na podpoře vzdělávání těchto žáků. Podpůrná opatření 2. až 5. stupně neurčuje škola, ale školské poradenské zařízení – PPP nebo SPC. Podpůrná opatření se člení do pěti stupňů podle organizační, pedagogické a finanční náročnosti. PPP nebo SPC stanoví žákovi konkrétní podpůrná opatření, která odpovídají danému stupni podpory. Podmínkou poskytování podpůrného opatření druhého až pátého stupně školou je vždy písemný informovaný souhlas zákonného zástupce žáka.</w:t>
      </w:r>
    </w:p>
    <w:p w:rsidR="00BA2F4F" w:rsidRDefault="00BA2F4F" w:rsidP="0064658B">
      <w:pPr>
        <w:pStyle w:val="Normlnweb"/>
        <w:spacing w:before="150" w:beforeAutospacing="0" w:after="150" w:afterAutospacing="0"/>
        <w:ind w:right="150"/>
        <w:jc w:val="both"/>
        <w:rPr>
          <w:color w:val="555555"/>
        </w:rPr>
      </w:pPr>
    </w:p>
    <w:p w:rsidR="0064658B" w:rsidRPr="0064658B" w:rsidRDefault="0064658B" w:rsidP="0064658B">
      <w:pPr>
        <w:pStyle w:val="Normlnweb"/>
        <w:spacing w:before="150" w:beforeAutospacing="0" w:after="150" w:afterAutospacing="0"/>
        <w:ind w:right="150"/>
        <w:jc w:val="both"/>
        <w:rPr>
          <w:rFonts w:asciiTheme="minorHAnsi" w:hAnsiTheme="minorHAnsi" w:cstheme="minorHAnsi"/>
          <w:b/>
        </w:rPr>
      </w:pPr>
      <w:bookmarkStart w:id="0" w:name="_GoBack"/>
      <w:bookmarkEnd w:id="0"/>
      <w:r w:rsidRPr="0064658B">
        <w:rPr>
          <w:rFonts w:asciiTheme="minorHAnsi" w:hAnsiTheme="minorHAnsi" w:cstheme="minorHAnsi"/>
          <w:b/>
        </w:rPr>
        <w:t>Podpůrná opatření spočívají v:</w:t>
      </w:r>
    </w:p>
    <w:p w:rsidR="0064658B" w:rsidRPr="0064658B" w:rsidRDefault="0064658B" w:rsidP="00671274">
      <w:pPr>
        <w:pStyle w:val="Normlnweb"/>
        <w:numPr>
          <w:ilvl w:val="0"/>
          <w:numId w:val="1"/>
        </w:numPr>
        <w:spacing w:before="150" w:beforeAutospacing="0" w:after="150" w:afterAutospacing="0"/>
        <w:ind w:right="150"/>
        <w:jc w:val="both"/>
        <w:rPr>
          <w:rFonts w:asciiTheme="minorHAnsi" w:hAnsiTheme="minorHAnsi" w:cstheme="minorHAnsi"/>
          <w:b/>
        </w:rPr>
      </w:pPr>
      <w:r w:rsidRPr="0064658B">
        <w:rPr>
          <w:rFonts w:asciiTheme="minorHAnsi" w:hAnsiTheme="minorHAnsi" w:cstheme="minorHAnsi"/>
        </w:rPr>
        <w:t>poradenské pomoci školy a školského poradenského zařízení,</w:t>
      </w:r>
    </w:p>
    <w:p w:rsidR="00580CFA" w:rsidRPr="00580CFA" w:rsidRDefault="0064658B" w:rsidP="00671274">
      <w:pPr>
        <w:pStyle w:val="Normlnweb"/>
        <w:numPr>
          <w:ilvl w:val="0"/>
          <w:numId w:val="1"/>
        </w:numPr>
        <w:spacing w:before="150" w:beforeAutospacing="0" w:after="150" w:afterAutospacing="0"/>
        <w:ind w:right="150"/>
        <w:jc w:val="both"/>
        <w:rPr>
          <w:rFonts w:asciiTheme="minorHAnsi" w:hAnsiTheme="minorHAnsi" w:cstheme="minorHAnsi"/>
          <w:b/>
        </w:rPr>
      </w:pPr>
      <w:r w:rsidRPr="0064658B">
        <w:rPr>
          <w:rFonts w:asciiTheme="minorHAnsi" w:hAnsiTheme="minorHAnsi" w:cstheme="minorHAnsi"/>
        </w:rPr>
        <w:t xml:space="preserve">úpravě organizace, obsahu, hodnocení, forem a metod vzdělávání a školských </w:t>
      </w:r>
    </w:p>
    <w:p w:rsidR="0064658B" w:rsidRPr="0064658B" w:rsidRDefault="0064658B" w:rsidP="00671274">
      <w:pPr>
        <w:pStyle w:val="Normlnweb"/>
        <w:spacing w:before="150" w:beforeAutospacing="0" w:after="150" w:afterAutospacing="0"/>
        <w:ind w:left="720" w:right="150"/>
        <w:jc w:val="both"/>
        <w:rPr>
          <w:rFonts w:asciiTheme="minorHAnsi" w:hAnsiTheme="minorHAnsi" w:cstheme="minorHAnsi"/>
          <w:b/>
        </w:rPr>
      </w:pPr>
      <w:r w:rsidRPr="0064658B">
        <w:rPr>
          <w:rFonts w:asciiTheme="minorHAnsi" w:hAnsiTheme="minorHAnsi" w:cstheme="minorHAnsi"/>
        </w:rPr>
        <w:t>služeb, včetně zabezpečení výuky jednotlivých předmětů,</w:t>
      </w:r>
    </w:p>
    <w:p w:rsidR="0064658B" w:rsidRPr="0064658B" w:rsidRDefault="0064658B" w:rsidP="00671274">
      <w:pPr>
        <w:pStyle w:val="Normlnweb"/>
        <w:numPr>
          <w:ilvl w:val="0"/>
          <w:numId w:val="1"/>
        </w:numPr>
        <w:spacing w:before="150" w:beforeAutospacing="0" w:after="150" w:afterAutospacing="0"/>
        <w:ind w:right="150"/>
        <w:jc w:val="both"/>
        <w:rPr>
          <w:rFonts w:asciiTheme="minorHAnsi" w:hAnsiTheme="minorHAnsi" w:cstheme="minorHAnsi"/>
          <w:b/>
        </w:rPr>
      </w:pPr>
      <w:r w:rsidRPr="0064658B">
        <w:rPr>
          <w:rFonts w:asciiTheme="minorHAnsi" w:hAnsiTheme="minorHAnsi" w:cstheme="minorHAnsi"/>
        </w:rPr>
        <w:t>úpravě podmínek přijímání ke vzdělávání a ukončení školní docházky,</w:t>
      </w:r>
    </w:p>
    <w:p w:rsidR="0064658B" w:rsidRPr="0064658B" w:rsidRDefault="0064658B" w:rsidP="00671274">
      <w:pPr>
        <w:pStyle w:val="Normlnweb"/>
        <w:numPr>
          <w:ilvl w:val="0"/>
          <w:numId w:val="1"/>
        </w:numPr>
        <w:spacing w:before="150" w:beforeAutospacing="0" w:after="150" w:afterAutospacing="0"/>
        <w:ind w:right="150"/>
        <w:jc w:val="both"/>
        <w:rPr>
          <w:rFonts w:asciiTheme="minorHAnsi" w:hAnsiTheme="minorHAnsi" w:cstheme="minorHAnsi"/>
          <w:b/>
        </w:rPr>
      </w:pPr>
      <w:r w:rsidRPr="0064658B">
        <w:rPr>
          <w:rFonts w:asciiTheme="minorHAnsi" w:hAnsiTheme="minorHAnsi" w:cstheme="minorHAnsi"/>
        </w:rPr>
        <w:t>použití kompenzačních pomůcek a speciálních učebních pomůcek,</w:t>
      </w:r>
    </w:p>
    <w:p w:rsidR="0064658B" w:rsidRPr="0064658B" w:rsidRDefault="0064658B" w:rsidP="00671274">
      <w:pPr>
        <w:pStyle w:val="Normlnweb"/>
        <w:numPr>
          <w:ilvl w:val="0"/>
          <w:numId w:val="1"/>
        </w:numPr>
        <w:spacing w:before="150" w:beforeAutospacing="0" w:after="150" w:afterAutospacing="0"/>
        <w:ind w:right="150"/>
        <w:jc w:val="both"/>
        <w:rPr>
          <w:rFonts w:asciiTheme="minorHAnsi" w:hAnsiTheme="minorHAnsi" w:cstheme="minorHAnsi"/>
          <w:b/>
        </w:rPr>
      </w:pPr>
      <w:r w:rsidRPr="0064658B">
        <w:rPr>
          <w:rFonts w:asciiTheme="minorHAnsi" w:hAnsiTheme="minorHAnsi" w:cstheme="minorHAnsi"/>
        </w:rPr>
        <w:t>vzdělávání podle individuálního vzdělávacího plánu (IVP),</w:t>
      </w:r>
    </w:p>
    <w:p w:rsidR="0064658B" w:rsidRPr="0064658B" w:rsidRDefault="0064658B" w:rsidP="00671274">
      <w:pPr>
        <w:pStyle w:val="Normlnweb"/>
        <w:numPr>
          <w:ilvl w:val="0"/>
          <w:numId w:val="1"/>
        </w:numPr>
        <w:spacing w:before="150" w:beforeAutospacing="0" w:after="150" w:afterAutospacing="0"/>
        <w:ind w:right="150"/>
        <w:jc w:val="both"/>
        <w:rPr>
          <w:rFonts w:asciiTheme="minorHAnsi" w:hAnsiTheme="minorHAnsi" w:cstheme="minorHAnsi"/>
          <w:b/>
        </w:rPr>
      </w:pPr>
      <w:r w:rsidRPr="0064658B">
        <w:rPr>
          <w:rFonts w:asciiTheme="minorHAnsi" w:hAnsiTheme="minorHAnsi" w:cstheme="minorHAnsi"/>
        </w:rPr>
        <w:t>využití asistenta pedagoga.</w:t>
      </w:r>
    </w:p>
    <w:p w:rsidR="0081141D" w:rsidRPr="0064658B" w:rsidRDefault="0081141D" w:rsidP="00671274">
      <w:pPr>
        <w:pStyle w:val="Normlnweb"/>
        <w:shd w:val="clear" w:color="auto" w:fill="FFFFFF"/>
        <w:spacing w:before="150" w:beforeAutospacing="0" w:after="150" w:afterAutospacing="0"/>
        <w:ind w:right="150"/>
        <w:jc w:val="both"/>
        <w:rPr>
          <w:rFonts w:asciiTheme="minorHAnsi" w:hAnsiTheme="minorHAnsi" w:cstheme="minorHAnsi"/>
        </w:rPr>
      </w:pPr>
    </w:p>
    <w:p w:rsidR="00484C71" w:rsidRPr="00BF0C21" w:rsidRDefault="00484C71" w:rsidP="00671274">
      <w:pPr>
        <w:pStyle w:val="Normlnweb"/>
        <w:shd w:val="clear" w:color="auto" w:fill="FFFFFF"/>
        <w:spacing w:before="150" w:beforeAutospacing="0" w:after="150" w:afterAutospacing="0"/>
        <w:ind w:right="150"/>
        <w:jc w:val="both"/>
        <w:rPr>
          <w:rFonts w:ascii="Arial" w:hAnsi="Arial" w:cs="Arial"/>
        </w:rPr>
      </w:pPr>
    </w:p>
    <w:p w:rsidR="0081141D" w:rsidRDefault="0081141D" w:rsidP="000E01D1">
      <w:pPr>
        <w:pStyle w:val="Normlnweb"/>
        <w:shd w:val="clear" w:color="auto" w:fill="FFFFFF"/>
        <w:spacing w:before="150" w:beforeAutospacing="0" w:after="150" w:afterAutospacing="0"/>
        <w:ind w:right="150"/>
        <w:rPr>
          <w:rFonts w:ascii="Tahoma" w:hAnsi="Tahoma" w:cs="Tahoma"/>
          <w:color w:val="555555"/>
          <w:sz w:val="20"/>
          <w:szCs w:val="20"/>
        </w:rPr>
      </w:pPr>
      <w:r w:rsidRPr="0081141D">
        <w:rPr>
          <w:rFonts w:ascii="Tahoma" w:hAnsi="Tahoma" w:cs="Tahoma"/>
          <w:color w:val="555555"/>
          <w:sz w:val="22"/>
          <w:szCs w:val="22"/>
        </w:rPr>
        <w:t xml:space="preserve"> </w:t>
      </w:r>
    </w:p>
    <w:p w:rsidR="0081141D" w:rsidRDefault="0081141D" w:rsidP="0081141D">
      <w:pPr>
        <w:pStyle w:val="Normlnweb"/>
        <w:shd w:val="clear" w:color="auto" w:fill="FFFFFF"/>
        <w:spacing w:before="150" w:beforeAutospacing="0" w:after="150" w:afterAutospacing="0"/>
        <w:ind w:left="150" w:right="150"/>
        <w:rPr>
          <w:rFonts w:ascii="Tahoma" w:hAnsi="Tahoma" w:cs="Tahoma"/>
          <w:color w:val="555555"/>
          <w:sz w:val="20"/>
          <w:szCs w:val="20"/>
        </w:rPr>
      </w:pPr>
    </w:p>
    <w:p w:rsidR="0081141D" w:rsidRDefault="0081141D" w:rsidP="0081141D">
      <w:pPr>
        <w:pStyle w:val="Normlnweb"/>
        <w:shd w:val="clear" w:color="auto" w:fill="FFFFFF"/>
        <w:spacing w:before="150" w:beforeAutospacing="0" w:after="150" w:afterAutospacing="0"/>
        <w:ind w:left="150" w:right="150"/>
        <w:rPr>
          <w:rFonts w:ascii="Tahoma" w:hAnsi="Tahoma" w:cs="Tahoma"/>
          <w:color w:val="555555"/>
          <w:sz w:val="20"/>
          <w:szCs w:val="20"/>
        </w:rPr>
      </w:pPr>
      <w:r>
        <w:rPr>
          <w:rFonts w:ascii="Tahoma" w:hAnsi="Tahoma" w:cs="Tahoma"/>
          <w:color w:val="555555"/>
          <w:sz w:val="20"/>
          <w:szCs w:val="20"/>
        </w:rPr>
        <w:t> </w:t>
      </w:r>
    </w:p>
    <w:p w:rsidR="002F3BDD" w:rsidRDefault="002F3BDD"/>
    <w:sectPr w:rsidR="002F3BDD" w:rsidSect="00EA3C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70B" w:rsidRDefault="0038470B" w:rsidP="002D1E10">
      <w:pPr>
        <w:spacing w:after="0" w:line="240" w:lineRule="auto"/>
      </w:pPr>
      <w:r>
        <w:separator/>
      </w:r>
    </w:p>
  </w:endnote>
  <w:endnote w:type="continuationSeparator" w:id="0">
    <w:p w:rsidR="0038470B" w:rsidRDefault="0038470B" w:rsidP="002D1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70B" w:rsidRDefault="0038470B" w:rsidP="002D1E10">
      <w:pPr>
        <w:spacing w:after="0" w:line="240" w:lineRule="auto"/>
      </w:pPr>
      <w:r>
        <w:separator/>
      </w:r>
    </w:p>
  </w:footnote>
  <w:footnote w:type="continuationSeparator" w:id="0">
    <w:p w:rsidR="0038470B" w:rsidRDefault="0038470B" w:rsidP="002D1E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3619E"/>
    <w:multiLevelType w:val="hybridMultilevel"/>
    <w:tmpl w:val="CC580B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1141D"/>
    <w:rsid w:val="00047A37"/>
    <w:rsid w:val="000E01D1"/>
    <w:rsid w:val="001E6EC7"/>
    <w:rsid w:val="002D1E10"/>
    <w:rsid w:val="002F3BDD"/>
    <w:rsid w:val="0038470B"/>
    <w:rsid w:val="003B4DCB"/>
    <w:rsid w:val="004357A3"/>
    <w:rsid w:val="00484C71"/>
    <w:rsid w:val="00580CFA"/>
    <w:rsid w:val="0064658B"/>
    <w:rsid w:val="006612D1"/>
    <w:rsid w:val="00671274"/>
    <w:rsid w:val="00697C86"/>
    <w:rsid w:val="00787C5E"/>
    <w:rsid w:val="0081141D"/>
    <w:rsid w:val="00A15CF7"/>
    <w:rsid w:val="00A22FF2"/>
    <w:rsid w:val="00A73B42"/>
    <w:rsid w:val="00BA2F4F"/>
    <w:rsid w:val="00BF0C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1141D"/>
  </w:style>
  <w:style w:type="paragraph" w:styleId="Nadpis1">
    <w:name w:val="heading 1"/>
    <w:basedOn w:val="Normln"/>
    <w:next w:val="Normln"/>
    <w:link w:val="Nadpis1Char"/>
    <w:uiPriority w:val="9"/>
    <w:qFormat/>
    <w:rsid w:val="008114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1141D"/>
    <w:rPr>
      <w:rFonts w:asciiTheme="majorHAnsi" w:eastAsiaTheme="majorEastAsia" w:hAnsiTheme="majorHAnsi" w:cstheme="majorBidi"/>
      <w:b/>
      <w:bCs/>
      <w:color w:val="365F91" w:themeColor="accent1" w:themeShade="BF"/>
      <w:sz w:val="28"/>
      <w:szCs w:val="28"/>
    </w:rPr>
  </w:style>
  <w:style w:type="paragraph" w:styleId="Normlnweb">
    <w:name w:val="Normal (Web)"/>
    <w:basedOn w:val="Normln"/>
    <w:uiPriority w:val="99"/>
    <w:unhideWhenUsed/>
    <w:rsid w:val="008114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1141D"/>
    <w:rPr>
      <w:b/>
      <w:bCs/>
    </w:rPr>
  </w:style>
  <w:style w:type="character" w:customStyle="1" w:styleId="apple-converted-space">
    <w:name w:val="apple-converted-space"/>
    <w:basedOn w:val="Standardnpsmoodstavce"/>
    <w:rsid w:val="0081141D"/>
  </w:style>
  <w:style w:type="paragraph" w:styleId="Zhlav">
    <w:name w:val="header"/>
    <w:basedOn w:val="Normln"/>
    <w:link w:val="ZhlavChar"/>
    <w:uiPriority w:val="99"/>
    <w:unhideWhenUsed/>
    <w:rsid w:val="0081141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141D"/>
  </w:style>
  <w:style w:type="paragraph" w:styleId="Zpat">
    <w:name w:val="footer"/>
    <w:basedOn w:val="Normln"/>
    <w:link w:val="ZpatChar"/>
    <w:uiPriority w:val="99"/>
    <w:unhideWhenUsed/>
    <w:rsid w:val="0081141D"/>
    <w:pPr>
      <w:tabs>
        <w:tab w:val="center" w:pos="4536"/>
        <w:tab w:val="right" w:pos="9072"/>
      </w:tabs>
      <w:spacing w:after="0" w:line="240" w:lineRule="auto"/>
    </w:pPr>
  </w:style>
  <w:style w:type="character" w:customStyle="1" w:styleId="ZpatChar">
    <w:name w:val="Zápatí Char"/>
    <w:basedOn w:val="Standardnpsmoodstavce"/>
    <w:link w:val="Zpat"/>
    <w:uiPriority w:val="99"/>
    <w:rsid w:val="008114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1779">
      <w:bodyDiv w:val="1"/>
      <w:marLeft w:val="0"/>
      <w:marRight w:val="0"/>
      <w:marTop w:val="0"/>
      <w:marBottom w:val="0"/>
      <w:divBdr>
        <w:top w:val="none" w:sz="0" w:space="0" w:color="auto"/>
        <w:left w:val="none" w:sz="0" w:space="0" w:color="auto"/>
        <w:bottom w:val="none" w:sz="0" w:space="0" w:color="auto"/>
        <w:right w:val="none" w:sz="0" w:space="0" w:color="auto"/>
      </w:divBdr>
    </w:div>
    <w:div w:id="195775062">
      <w:bodyDiv w:val="1"/>
      <w:marLeft w:val="0"/>
      <w:marRight w:val="0"/>
      <w:marTop w:val="0"/>
      <w:marBottom w:val="0"/>
      <w:divBdr>
        <w:top w:val="none" w:sz="0" w:space="0" w:color="auto"/>
        <w:left w:val="none" w:sz="0" w:space="0" w:color="auto"/>
        <w:bottom w:val="none" w:sz="0" w:space="0" w:color="auto"/>
        <w:right w:val="none" w:sz="0" w:space="0" w:color="auto"/>
      </w:divBdr>
    </w:div>
    <w:div w:id="373895826">
      <w:bodyDiv w:val="1"/>
      <w:marLeft w:val="0"/>
      <w:marRight w:val="0"/>
      <w:marTop w:val="0"/>
      <w:marBottom w:val="0"/>
      <w:divBdr>
        <w:top w:val="none" w:sz="0" w:space="0" w:color="auto"/>
        <w:left w:val="none" w:sz="0" w:space="0" w:color="auto"/>
        <w:bottom w:val="none" w:sz="0" w:space="0" w:color="auto"/>
        <w:right w:val="none" w:sz="0" w:space="0" w:color="auto"/>
      </w:divBdr>
    </w:div>
    <w:div w:id="383869337">
      <w:bodyDiv w:val="1"/>
      <w:marLeft w:val="0"/>
      <w:marRight w:val="0"/>
      <w:marTop w:val="0"/>
      <w:marBottom w:val="0"/>
      <w:divBdr>
        <w:top w:val="none" w:sz="0" w:space="0" w:color="auto"/>
        <w:left w:val="none" w:sz="0" w:space="0" w:color="auto"/>
        <w:bottom w:val="none" w:sz="0" w:space="0" w:color="auto"/>
        <w:right w:val="none" w:sz="0" w:space="0" w:color="auto"/>
      </w:divBdr>
    </w:div>
    <w:div w:id="1202941528">
      <w:bodyDiv w:val="1"/>
      <w:marLeft w:val="0"/>
      <w:marRight w:val="0"/>
      <w:marTop w:val="0"/>
      <w:marBottom w:val="0"/>
      <w:divBdr>
        <w:top w:val="none" w:sz="0" w:space="0" w:color="auto"/>
        <w:left w:val="none" w:sz="0" w:space="0" w:color="auto"/>
        <w:bottom w:val="none" w:sz="0" w:space="0" w:color="auto"/>
        <w:right w:val="none" w:sz="0" w:space="0" w:color="auto"/>
      </w:divBdr>
    </w:div>
    <w:div w:id="124002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284</Words>
  <Characters>1682</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dc:creator>
  <cp:lastModifiedBy>Drahomíra Bartošová</cp:lastModifiedBy>
  <cp:revision>10</cp:revision>
  <dcterms:created xsi:type="dcterms:W3CDTF">2016-09-25T21:05:00Z</dcterms:created>
  <dcterms:modified xsi:type="dcterms:W3CDTF">2025-09-09T18:29:00Z</dcterms:modified>
</cp:coreProperties>
</file>