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1A66AEB8" w14:textId="6A4F8798" w:rsidR="00E6052E" w:rsidRPr="007558B8" w:rsidRDefault="007558B8" w:rsidP="007558B8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</w:pPr>
      <w:r w:rsidRPr="007558B8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>Provoz Charity, církevních škol, zajištění duchovní služby, ale i investiční projekty</w:t>
      </w:r>
      <w:r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 xml:space="preserve"> – </w:t>
      </w:r>
      <w:r w:rsidRPr="007558B8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>brněnská diecéze se i v roce 2023 zodpovědně připravovala na zcela samostatné hospodaření</w:t>
      </w:r>
    </w:p>
    <w:p w14:paraId="2F6B3ED7" w14:textId="705C34B0" w:rsidR="00812B39" w:rsidRPr="001F5C5C" w:rsidRDefault="007558B8" w:rsidP="007558B8">
      <w:pPr>
        <w:spacing w:before="240" w:after="240" w:line="240" w:lineRule="auto"/>
        <w:ind w:left="720"/>
        <w:jc w:val="both"/>
        <w:rPr>
          <w:rFonts w:ascii="Literata" w:eastAsia="Times New Roman" w:hAnsi="Literata"/>
          <w:b/>
          <w:bCs/>
          <w:color w:val="210768"/>
          <w:sz w:val="20"/>
          <w:szCs w:val="20"/>
          <w:lang w:val="cs-CZ"/>
        </w:rPr>
      </w:pPr>
      <w:r w:rsidRPr="001F5C5C">
        <w:rPr>
          <w:rFonts w:ascii="Literata" w:eastAsia="Times New Roman" w:hAnsi="Literata"/>
          <w:b/>
          <w:bCs/>
          <w:color w:val="210768"/>
          <w:sz w:val="20"/>
          <w:szCs w:val="20"/>
          <w:lang w:val="cs-CZ"/>
        </w:rPr>
        <w:t>Brněnská diecéze hospodařila v roce 2023 v rámci všech svých spravovaných organizací</w:t>
      </w:r>
      <w:r w:rsidR="001F5C5C" w:rsidRPr="001F5C5C">
        <w:rPr>
          <w:rFonts w:ascii="Literata" w:eastAsia="Times New Roman" w:hAnsi="Literata"/>
          <w:b/>
          <w:bCs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Times New Roman" w:hAnsi="Literata"/>
          <w:b/>
          <w:bCs/>
          <w:color w:val="210768"/>
          <w:sz w:val="20"/>
          <w:szCs w:val="20"/>
          <w:lang w:val="cs-CZ"/>
        </w:rPr>
        <w:t>s rozpočtem ve výši 2,4 miliardy korun. S více než 1,1 miliardou korun pracuje jako klíčový hráč na poli sociálních služeb Diecézní charita Brno, zbytek financí zajišťuje provoz církevních škol, duchovních služeb, chod farností, péči o památky a architektonicky cenné historické budovy, část peněz pak míří i do investičních projektů.</w:t>
      </w:r>
    </w:p>
    <w:p w14:paraId="758D17BD" w14:textId="551FFF6B" w:rsidR="007558B8" w:rsidRPr="001F5C5C" w:rsidRDefault="007558B8" w:rsidP="007558B8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Zajistit církevní svatbu nebo pohřeb, zprostředkovat potřebnou pomoc člověku v nouzi přes síť charitních služeb nebo předat mladým lidem kvalitní vzdělání obohacené o důraz na důležitost etických hodnot – to všechno by nebylo možné bez řádného a zodpovědného hospodaření Biskupství brněnského, které spravuje řadu samostatných subjektů. Prostředky vkládá do široké škály aktivit – od provozu biskupství a jednotlivých farností, přes služby Diecézní charity Brno, církevních škol nebo Centra pro rodinu a sociální péči až po korporátní společnosti jako je </w:t>
      </w:r>
      <w:proofErr w:type="spellStart"/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Urbanon</w:t>
      </w:r>
      <w:proofErr w:type="spellEnd"/>
      <w:r w:rsidR="00CA623D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nebo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obchodní centrum Velký Špalíček. </w:t>
      </w:r>
      <w:r w:rsidRPr="001F5C5C">
        <w:rPr>
          <w:rFonts w:ascii="Literata" w:eastAsia="Literata" w:hAnsi="Literata" w:cs="Literata"/>
          <w:i/>
          <w:iCs/>
          <w:color w:val="210768"/>
          <w:sz w:val="20"/>
          <w:szCs w:val="20"/>
          <w:lang w:val="cs-CZ"/>
        </w:rPr>
        <w:t xml:space="preserve">“Snažíme se fungovat tak, abychom každý rok generovali dostatečný příjem na zajištění chodu služeb, které napříč diecézí nabízíme. Ať už jde o služby duchovní, nebo ty, skrze které jiným způsobem sloužíme celé společnosti – sociální, poradenské, psychologické nebo vzdělávací služby. Proto chceme i v následujících letech rozvíjet investiční aktivity tak, abychom dokázali odpovídajícím způsobem kompenzovat chystaný výpadek příjmů ze státního rozpočtu,” 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vysvětluje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generální vikář brněnské diecéze Pavel Kafka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. </w:t>
      </w:r>
    </w:p>
    <w:p w14:paraId="7EB70C4C" w14:textId="65D0BD30" w:rsidR="007558B8" w:rsidRPr="001F5C5C" w:rsidRDefault="007558B8" w:rsidP="007558B8">
      <w:pPr>
        <w:spacing w:before="240" w:after="100" w:line="240" w:lineRule="auto"/>
        <w:ind w:left="720"/>
        <w:rPr>
          <w:rFonts w:ascii="Readex Pro" w:eastAsia="Literata" w:hAnsi="Readex Pro" w:cs="Literata"/>
          <w:color w:val="210768"/>
          <w:sz w:val="24"/>
          <w:szCs w:val="24"/>
          <w:lang w:val="cs-CZ"/>
        </w:rPr>
      </w:pPr>
      <w:r w:rsidRPr="001F5C5C">
        <w:rPr>
          <w:rFonts w:ascii="Readex Pro" w:eastAsia="Literata" w:hAnsi="Readex Pro" w:cs="Literata"/>
          <w:b/>
          <w:bCs/>
          <w:color w:val="210768"/>
          <w:sz w:val="24"/>
          <w:szCs w:val="24"/>
          <w:lang w:val="cs-CZ"/>
        </w:rPr>
        <w:t>Dlouhodobé a stabilní investice pomohou zajistit služby církve</w:t>
      </w:r>
      <w:r w:rsidR="001F5C5C" w:rsidRPr="001F5C5C">
        <w:rPr>
          <w:rFonts w:ascii="Readex Pro" w:eastAsia="Literata" w:hAnsi="Readex Pro" w:cs="Literata"/>
          <w:b/>
          <w:bCs/>
          <w:color w:val="210768"/>
          <w:sz w:val="24"/>
          <w:szCs w:val="24"/>
          <w:lang w:val="cs-CZ"/>
        </w:rPr>
        <w:t xml:space="preserve"> </w:t>
      </w:r>
      <w:r w:rsidRPr="001F5C5C">
        <w:rPr>
          <w:rFonts w:ascii="Readex Pro" w:eastAsia="Literata" w:hAnsi="Readex Pro" w:cs="Literata"/>
          <w:b/>
          <w:bCs/>
          <w:color w:val="210768"/>
          <w:sz w:val="24"/>
          <w:szCs w:val="24"/>
          <w:lang w:val="cs-CZ"/>
        </w:rPr>
        <w:t>pro budoucí generace</w:t>
      </w:r>
    </w:p>
    <w:p w14:paraId="2939EA45" w14:textId="2D0B3523" w:rsidR="007558B8" w:rsidRPr="001F5C5C" w:rsidRDefault="007558B8" w:rsidP="007558B8">
      <w:pPr>
        <w:spacing w:before="10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Investiční projekty si tak musí vydělat nejen na sebe, ale pokrýt i výdaje, které provází třeba samotný biskupský úřad, kapituly a farnosti. V brněnské diecézi působí víc než 316 kněží,</w:t>
      </w:r>
      <w:r w:rsid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54 duchovních v roli pastoračních asistentů a dalších 87 laických pracovníků. </w:t>
      </w:r>
      <w:r w:rsidRPr="001F5C5C">
        <w:rPr>
          <w:rFonts w:ascii="Literata" w:eastAsia="Literata" w:hAnsi="Literata" w:cs="Literata"/>
          <w:i/>
          <w:iCs/>
          <w:color w:val="210768"/>
          <w:sz w:val="20"/>
          <w:szCs w:val="20"/>
          <w:lang w:val="cs-CZ"/>
        </w:rPr>
        <w:t>“Přípravu na to, abychom se dokázali samostatně uživit, jsme zahájili už v roce 2013. Investice, které k soběstačnosti vedou, jsou zatím vesměs konzervativní, s požadavkem na dlouhodobý a stabilní výnos a malou míru rizika. Proto jsme se zaměřili převážně na akvizice nemovitostí, investice do akcií a dluhopisů prostřednictvím Fondu udržitelnosti Římskokatolické církve a v posledních letech taky</w:t>
      </w:r>
      <w:r w:rsidR="001F5C5C">
        <w:rPr>
          <w:rFonts w:ascii="Literata" w:eastAsia="Literata" w:hAnsi="Literata" w:cs="Literata"/>
          <w:i/>
          <w:iCs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i/>
          <w:iCs/>
          <w:color w:val="210768"/>
          <w:sz w:val="20"/>
          <w:szCs w:val="20"/>
          <w:lang w:val="cs-CZ"/>
        </w:rPr>
        <w:t xml:space="preserve">na developerskou činnost. V roce 2023 jsme jako Biskupství brněnské skončili s hospodářským výsledkem v plusu 6 milionů korun,” 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dodává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Pavel Kafka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. </w:t>
      </w:r>
    </w:p>
    <w:p w14:paraId="2DDD323C" w14:textId="65D8550C" w:rsidR="007558B8" w:rsidRPr="001F5C5C" w:rsidRDefault="007558B8" w:rsidP="007558B8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Na financování církve se podílí také sami věřící prostřednictvím Fondu na podporu kněží</w:t>
      </w:r>
      <w:r w:rsid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a pastorace, do kterého dobrovolně dle svých možností přispívají lidé z celé diecéze. </w:t>
      </w:r>
      <w:r w:rsidRPr="001F5C5C">
        <w:rPr>
          <w:rFonts w:ascii="Literata" w:eastAsia="Literata" w:hAnsi="Literata" w:cs="Literata"/>
          <w:i/>
          <w:iCs/>
          <w:color w:val="210768"/>
          <w:sz w:val="20"/>
          <w:szCs w:val="20"/>
          <w:lang w:val="cs-CZ"/>
        </w:rPr>
        <w:t>“Za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i/>
          <w:iCs/>
          <w:color w:val="210768"/>
          <w:sz w:val="20"/>
          <w:szCs w:val="20"/>
          <w:lang w:val="cs-CZ"/>
        </w:rPr>
        <w:t xml:space="preserve">7 let jeho existence do něj pravidelně přispívá více než 8 700 donátorů. Opět se tím ukazuje, že lepší než jakékoliv příkazy je dobrovolné zapojení lidí, poskytnutí výsledků </w:t>
      </w:r>
      <w:r w:rsidRPr="001F5C5C">
        <w:rPr>
          <w:rFonts w:ascii="Literata" w:eastAsia="Literata" w:hAnsi="Literata" w:cs="Literata"/>
          <w:i/>
          <w:iCs/>
          <w:color w:val="210768"/>
          <w:sz w:val="20"/>
          <w:szCs w:val="20"/>
          <w:lang w:val="cs-CZ"/>
        </w:rPr>
        <w:lastRenderedPageBreak/>
        <w:t xml:space="preserve">transparentního hospodaření a pozvání ke spoluzodpovědnosti za budoucnost naší diecéze,” 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vysvětluje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 xml:space="preserve">brněnský biskup Pavel </w:t>
      </w:r>
      <w:proofErr w:type="spellStart"/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Konzbul</w:t>
      </w:r>
      <w:proofErr w:type="spellEnd"/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. Loni věřící jen formou donátorství vybrali 21,3 milionů korun.</w:t>
      </w:r>
      <w:r w:rsidRPr="001F5C5C">
        <w:rPr>
          <w:rFonts w:ascii="Literata" w:eastAsia="Literata" w:hAnsi="Literata" w:cs="Literata"/>
          <w:i/>
          <w:iCs/>
          <w:color w:val="210768"/>
          <w:sz w:val="20"/>
          <w:szCs w:val="20"/>
          <w:lang w:val="cs-CZ"/>
        </w:rPr>
        <w:t xml:space="preserve"> “Ještě letos chystáme nějaké změny, které přinesou modernější způsoby zapojení věřících do tohoto fondu, například pomocí aplikace Donátor, která umožní věřícím přispívat do nedělních sbírek pomocí mobilního telefonu,”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prozradil biskup </w:t>
      </w:r>
      <w:proofErr w:type="spellStart"/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Konzbul</w:t>
      </w:r>
      <w:proofErr w:type="spellEnd"/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.</w:t>
      </w:r>
    </w:p>
    <w:p w14:paraId="42CDA84F" w14:textId="4C7E5398" w:rsidR="007558B8" w:rsidRPr="001F5C5C" w:rsidRDefault="007558B8" w:rsidP="007558B8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Kromě toho se v diecézi konají různé účelové sbírky. Například sbírka na charitativní účely vynesla 3,2 miliony korun.</w:t>
      </w:r>
    </w:p>
    <w:p w14:paraId="3A9E1BA1" w14:textId="6EE51099" w:rsidR="007558B8" w:rsidRPr="001F5C5C" w:rsidRDefault="007558B8" w:rsidP="001F5C5C">
      <w:pPr>
        <w:spacing w:before="240" w:after="100" w:line="240" w:lineRule="auto"/>
        <w:ind w:left="720"/>
        <w:rPr>
          <w:rFonts w:ascii="Readex Pro" w:eastAsia="Literata" w:hAnsi="Readex Pro" w:cs="Literata"/>
          <w:b/>
          <w:bCs/>
          <w:color w:val="210768"/>
          <w:sz w:val="24"/>
          <w:szCs w:val="24"/>
          <w:lang w:val="cs-CZ"/>
        </w:rPr>
      </w:pPr>
      <w:r w:rsidRPr="001F5C5C">
        <w:rPr>
          <w:rFonts w:ascii="Readex Pro" w:eastAsia="Literata" w:hAnsi="Readex Pro" w:cs="Literata"/>
          <w:b/>
          <w:bCs/>
          <w:color w:val="210768"/>
          <w:sz w:val="24"/>
          <w:szCs w:val="24"/>
          <w:lang w:val="cs-CZ"/>
        </w:rPr>
        <w:t>Co všechno se díky správnému hospodaření daří?</w:t>
      </w:r>
    </w:p>
    <w:p w14:paraId="583DDE21" w14:textId="5F16940E" w:rsidR="007558B8" w:rsidRPr="001F5C5C" w:rsidRDefault="007558B8" w:rsidP="007558B8">
      <w:pPr>
        <w:spacing w:before="10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Církevní služby se daří otevírat i lidem, kteří se za věřící primárně nepovažují.</w:t>
      </w:r>
      <w:r w:rsidRPr="001F5C5C">
        <w:rPr>
          <w:rFonts w:ascii="Literata" w:eastAsia="Literata" w:hAnsi="Literata" w:cs="Literata"/>
          <w:i/>
          <w:iCs/>
          <w:color w:val="210768"/>
          <w:sz w:val="20"/>
          <w:szCs w:val="20"/>
          <w:lang w:val="cs-CZ"/>
        </w:rPr>
        <w:t xml:space="preserve"> “Snažíme se sloužit nejen věřícím, ale celé společnosti. Mezi naše důležité aktivity patří například provozování 5 církevních škol, kde se vzdělává asi 2 000 žáků. Mezi tyto školy patří i 2 gymnázia, o která je mezi uchazeči</w:t>
      </w:r>
      <w:r w:rsidR="001F5C5C">
        <w:rPr>
          <w:rFonts w:ascii="Literata" w:eastAsia="Literata" w:hAnsi="Literata" w:cs="Literata"/>
          <w:i/>
          <w:iCs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i/>
          <w:iCs/>
          <w:color w:val="210768"/>
          <w:sz w:val="20"/>
          <w:szCs w:val="20"/>
          <w:lang w:val="cs-CZ"/>
        </w:rPr>
        <w:t>o studium vždy velmi vysoký zájem. A také dvě školská zařízení – domov mládeže a pedagogicko-psychologická poradna, která ročně poskytne až 4 000 konzultací,”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říká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biskupský vikář</w:t>
      </w:r>
      <w:r w:rsid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pro vzdělávání Pavel Šenkyřík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.</w:t>
      </w:r>
    </w:p>
    <w:p w14:paraId="2C97BFAE" w14:textId="51903822" w:rsidR="007558B8" w:rsidRPr="001F5C5C" w:rsidRDefault="007558B8" w:rsidP="007558B8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Biskupství brněnské zajišťuje také řadu dalších služeb v sociální oblasti – jedná se například</w:t>
      </w:r>
      <w:r w:rsid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o službu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 xml:space="preserve"> vězeňských nebo nemocničních kaplanů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, kteří poskytují lidskou i duchovní podporu potřebným. Vysílá také kněze do služby v armádě jako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vojenské kaplany.</w:t>
      </w:r>
      <w:r w:rsid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Biskupství zřizuje</w:t>
      </w:r>
      <w:r w:rsid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i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Diecézní charitu Brno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– mj. největšího zaměstnavatele na poli sociálních služeb</w:t>
      </w:r>
      <w:r w:rsid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v Jihomoravském kraji. Ve svých zařízeních na území brněnské diecéze poskytuje</w:t>
      </w:r>
      <w:r w:rsid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106 registrovaných sociálních služeb pro až 58 000 klientů ročně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. Na provozu charity se podílí výnosy z pravidelných sbírek nebo lednové sbírky Tříkrálové. </w:t>
      </w:r>
    </w:p>
    <w:p w14:paraId="35C445A7" w14:textId="656113BF" w:rsidR="00B501CA" w:rsidRPr="001F5C5C" w:rsidRDefault="007558B8" w:rsidP="00B501CA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Nejvýrazněji pociťují lidé napříč diecézí službu více než tří stovek kněží, která se odehrává</w:t>
      </w:r>
      <w:r w:rsid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v celkem 451 farnostech. Kromě slavení mší, výuky náboženství nebo třeba duchovního doprovázení zajišťují kněží i křty, svatby nebo pohřby.</w:t>
      </w:r>
    </w:p>
    <w:p w14:paraId="79269D36" w14:textId="77777777" w:rsidR="007558B8" w:rsidRPr="001F5C5C" w:rsidRDefault="007558B8" w:rsidP="001F5C5C">
      <w:pPr>
        <w:spacing w:before="240" w:after="100" w:line="240" w:lineRule="auto"/>
        <w:ind w:left="720"/>
        <w:rPr>
          <w:rFonts w:ascii="Readex Pro" w:eastAsia="Literata" w:hAnsi="Readex Pro" w:cs="Literata"/>
          <w:b/>
          <w:bCs/>
          <w:color w:val="210768"/>
          <w:sz w:val="24"/>
          <w:szCs w:val="24"/>
          <w:lang w:val="cs-CZ"/>
        </w:rPr>
      </w:pPr>
      <w:r w:rsidRPr="001F5C5C">
        <w:rPr>
          <w:rFonts w:ascii="Readex Pro" w:eastAsia="Literata" w:hAnsi="Readex Pro" w:cs="Literata"/>
          <w:b/>
          <w:bCs/>
          <w:color w:val="210768"/>
          <w:sz w:val="24"/>
          <w:szCs w:val="24"/>
          <w:lang w:val="cs-CZ"/>
        </w:rPr>
        <w:t>Úkony duchovní správy na území brněnské diecéze v roce 2023</w:t>
      </w:r>
    </w:p>
    <w:p w14:paraId="58C74770" w14:textId="700C831A" w:rsidR="00B501CA" w:rsidRPr="001F5C5C" w:rsidRDefault="00B501CA" w:rsidP="001F5C5C">
      <w:pPr>
        <w:spacing w:before="240" w:after="100" w:line="240" w:lineRule="auto"/>
        <w:ind w:left="720"/>
        <w:rPr>
          <w:rFonts w:ascii="Readex Pro" w:eastAsia="Literata" w:hAnsi="Readex Pro" w:cs="Literata"/>
          <w:b/>
          <w:bCs/>
          <w:color w:val="210768"/>
          <w:sz w:val="24"/>
          <w:szCs w:val="24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Křty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3674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br/>
        <w:t>První svaté přijímání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2008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br/>
        <w:t>Biřmování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942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br/>
        <w:t>Sňatky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956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br/>
        <w:t>Pohřby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ab/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3992</w:t>
      </w:r>
    </w:p>
    <w:p w14:paraId="077DB57F" w14:textId="77777777" w:rsidR="007558B8" w:rsidRPr="001F5C5C" w:rsidRDefault="007558B8" w:rsidP="001F5C5C">
      <w:pPr>
        <w:spacing w:before="240" w:after="100" w:line="240" w:lineRule="auto"/>
        <w:ind w:left="720"/>
        <w:rPr>
          <w:rFonts w:ascii="Readex Pro" w:eastAsia="Literata" w:hAnsi="Readex Pro" w:cs="Literata"/>
          <w:b/>
          <w:bCs/>
          <w:color w:val="210768"/>
          <w:sz w:val="24"/>
          <w:szCs w:val="24"/>
          <w:lang w:val="cs-CZ"/>
        </w:rPr>
      </w:pPr>
      <w:r w:rsidRPr="001F5C5C">
        <w:rPr>
          <w:rFonts w:ascii="Readex Pro" w:eastAsia="Literata" w:hAnsi="Readex Pro" w:cs="Literata"/>
          <w:b/>
          <w:bCs/>
          <w:color w:val="210768"/>
          <w:sz w:val="24"/>
          <w:szCs w:val="24"/>
          <w:lang w:val="cs-CZ"/>
        </w:rPr>
        <w:t>Rekonstrukce významných památek i Stavba roku 2023</w:t>
      </w:r>
    </w:p>
    <w:p w14:paraId="4DB2E40C" w14:textId="18DE27EA" w:rsidR="007558B8" w:rsidRPr="001F5C5C" w:rsidRDefault="007558B8" w:rsidP="00B501CA">
      <w:pPr>
        <w:spacing w:before="100" w:after="240" w:line="240" w:lineRule="auto"/>
        <w:ind w:left="720"/>
        <w:jc w:val="both"/>
        <w:rPr>
          <w:rFonts w:ascii="Readex Pro" w:eastAsia="Literata" w:hAnsi="Readex Pro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Dalším důležitým úkolem je oprava a údržba kostelů, far a dalších často architektonicky cenných staveb, které se nacházejí na území brněnské diecéze. V roce 2023 výdaje na jejich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údržbu dosáhly 289 milionů korun.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 </w:t>
      </w:r>
    </w:p>
    <w:p w14:paraId="4D82F4CD" w14:textId="0F5179A7" w:rsidR="007558B8" w:rsidRPr="001F5C5C" w:rsidRDefault="007558B8" w:rsidP="007558B8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Celkem jde o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597 kostelů, 524 kaplí, 221 kapliček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a řadu dalších staveb, většinou památkově chráněných, které mj. představují významné kulturní a historické dědictví. Mezi nejzásadnější rekonstrukce roku 2023 patřilo těchto pět počinů:</w:t>
      </w:r>
    </w:p>
    <w:p w14:paraId="69672CF4" w14:textId="150CBA2F" w:rsidR="007558B8" w:rsidRPr="001F5C5C" w:rsidRDefault="007558B8" w:rsidP="007558B8">
      <w:pPr>
        <w:numPr>
          <w:ilvl w:val="0"/>
          <w:numId w:val="2"/>
        </w:numPr>
        <w:spacing w:before="240" w:after="240" w:line="240" w:lineRule="auto"/>
        <w:ind w:left="1434" w:hanging="357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lastRenderedPageBreak/>
        <w:t xml:space="preserve">rehabilitace a obnova národní kulturní památky kostela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sv. Jakuba v Brně</w:t>
      </w:r>
    </w:p>
    <w:p w14:paraId="06D67504" w14:textId="5018FB22" w:rsidR="007558B8" w:rsidRPr="001F5C5C" w:rsidRDefault="007558B8" w:rsidP="007558B8">
      <w:pPr>
        <w:numPr>
          <w:ilvl w:val="0"/>
          <w:numId w:val="2"/>
        </w:numPr>
        <w:spacing w:before="240" w:after="240" w:line="240" w:lineRule="auto"/>
        <w:ind w:left="1434" w:hanging="357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obnova ambitu kostela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sv. Jana Nepomuckého na Zelené hoře</w:t>
      </w:r>
    </w:p>
    <w:p w14:paraId="6C53C8AE" w14:textId="77777777" w:rsidR="007558B8" w:rsidRPr="001F5C5C" w:rsidRDefault="007558B8" w:rsidP="007558B8">
      <w:pPr>
        <w:numPr>
          <w:ilvl w:val="0"/>
          <w:numId w:val="2"/>
        </w:numPr>
        <w:spacing w:before="240" w:after="240" w:line="240" w:lineRule="auto"/>
        <w:ind w:left="1434" w:hanging="357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památková obnova kostela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 xml:space="preserve"> sv. Ignáce z </w:t>
      </w:r>
      <w:proofErr w:type="spellStart"/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Loyoly</w:t>
      </w:r>
      <w:proofErr w:type="spellEnd"/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 xml:space="preserve"> v Jihlavě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a jeho zpřístupnění veřejnosti</w:t>
      </w:r>
    </w:p>
    <w:p w14:paraId="6546BE2F" w14:textId="77777777" w:rsidR="007558B8" w:rsidRPr="001F5C5C" w:rsidRDefault="007558B8" w:rsidP="007558B8">
      <w:pPr>
        <w:numPr>
          <w:ilvl w:val="0"/>
          <w:numId w:val="2"/>
        </w:numPr>
        <w:spacing w:before="240" w:after="240" w:line="240" w:lineRule="auto"/>
        <w:ind w:left="1434" w:hanging="357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celková obnova kostela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sv. Jakuba v Moravské Nové Vsi po tornádu 2021</w:t>
      </w:r>
    </w:p>
    <w:p w14:paraId="68FE430E" w14:textId="57047213" w:rsidR="007558B8" w:rsidRPr="001F5C5C" w:rsidRDefault="007558B8" w:rsidP="007558B8">
      <w:pPr>
        <w:numPr>
          <w:ilvl w:val="0"/>
          <w:numId w:val="2"/>
        </w:numPr>
        <w:spacing w:before="240" w:after="240" w:line="240" w:lineRule="auto"/>
        <w:ind w:left="1434" w:hanging="357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obnova kostela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 xml:space="preserve"> Nanebevzetí Panny Marie v areálu Porta </w:t>
      </w:r>
      <w:proofErr w:type="spellStart"/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Coeli</w:t>
      </w:r>
      <w:proofErr w:type="spellEnd"/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 xml:space="preserve"> v Předklášteří – 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restaurování hlavního oltáře, oratoří, oltářních obrazů křtitelnice a obrazů Ignáce Raaba</w:t>
      </w:r>
    </w:p>
    <w:p w14:paraId="7D5F4C2B" w14:textId="77777777" w:rsidR="007558B8" w:rsidRPr="001F5C5C" w:rsidRDefault="007558B8" w:rsidP="007558B8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>Nutno zmínit také kostel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 xml:space="preserve"> sv. Markéty v Jaroměřicích nad Rokytnou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, který díky zdařile provedené rekonstrukci získal ocenění </w:t>
      </w:r>
      <w:r w:rsidRPr="001F5C5C">
        <w:rPr>
          <w:rFonts w:ascii="Literata" w:eastAsia="Literata" w:hAnsi="Literata" w:cs="Literata"/>
          <w:b/>
          <w:bCs/>
          <w:color w:val="210768"/>
          <w:sz w:val="20"/>
          <w:szCs w:val="20"/>
          <w:lang w:val="cs-CZ"/>
        </w:rPr>
        <w:t>Stavba roku 2023</w:t>
      </w:r>
      <w:r w:rsidRPr="001F5C5C">
        <w:rPr>
          <w:rFonts w:ascii="Literata" w:eastAsia="Literata" w:hAnsi="Literata" w:cs="Literata"/>
          <w:color w:val="210768"/>
          <w:sz w:val="20"/>
          <w:szCs w:val="20"/>
          <w:lang w:val="cs-CZ"/>
        </w:rPr>
        <w:t xml:space="preserve"> za projekt obnovy a záchrany areálu.</w:t>
      </w:r>
    </w:p>
    <w:p w14:paraId="6DF04B2F" w14:textId="77777777" w:rsidR="007558B8" w:rsidRPr="001F5C5C" w:rsidRDefault="007558B8" w:rsidP="007558B8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20"/>
          <w:szCs w:val="20"/>
          <w:lang w:val="cs-CZ"/>
        </w:rPr>
      </w:pPr>
    </w:p>
    <w:p w14:paraId="318C32D7" w14:textId="36813453" w:rsidR="00F86C86" w:rsidRPr="001F5C5C" w:rsidRDefault="00CA623D" w:rsidP="007558B8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20"/>
          <w:szCs w:val="20"/>
        </w:rPr>
      </w:pPr>
      <w:r w:rsidRPr="001F5C5C">
        <w:rPr>
          <w:rFonts w:ascii="Literata" w:eastAsia="Literata" w:hAnsi="Literata" w:cs="Literata"/>
          <w:b/>
          <w:color w:val="210768"/>
          <w:sz w:val="20"/>
          <w:szCs w:val="20"/>
        </w:rPr>
        <w:t>Více informací Vám ráda poskytne:</w:t>
      </w:r>
    </w:p>
    <w:p w14:paraId="2EC32056" w14:textId="74E9D2AC" w:rsidR="00E6052E" w:rsidRPr="001F5C5C" w:rsidRDefault="00CA623D" w:rsidP="00EE38FD">
      <w:pPr>
        <w:ind w:right="522" w:firstLine="720"/>
        <w:rPr>
          <w:rFonts w:ascii="Literata" w:eastAsia="Literata" w:hAnsi="Literata" w:cs="Literata"/>
          <w:b/>
          <w:color w:val="210768"/>
          <w:sz w:val="20"/>
          <w:szCs w:val="20"/>
        </w:rPr>
      </w:pPr>
      <w:r w:rsidRPr="001F5C5C">
        <w:rPr>
          <w:rFonts w:ascii="Literata" w:eastAsia="Literata" w:hAnsi="Literata" w:cs="Literata"/>
          <w:b/>
          <w:color w:val="210768"/>
          <w:sz w:val="20"/>
          <w:szCs w:val="20"/>
        </w:rPr>
        <w:t>Anežka Benešová</w:t>
      </w:r>
    </w:p>
    <w:p w14:paraId="0EBC6148" w14:textId="77777777" w:rsidR="00E6052E" w:rsidRPr="001F5C5C" w:rsidRDefault="00CA623D" w:rsidP="00EE38FD">
      <w:pPr>
        <w:ind w:right="522" w:firstLine="720"/>
        <w:rPr>
          <w:rFonts w:ascii="Literata" w:eastAsia="Literata" w:hAnsi="Literata" w:cs="Literata"/>
          <w:color w:val="210768"/>
          <w:sz w:val="20"/>
          <w:szCs w:val="20"/>
        </w:rPr>
      </w:pPr>
      <w:r w:rsidRPr="001F5C5C">
        <w:rPr>
          <w:rFonts w:ascii="Literata" w:eastAsia="Literata" w:hAnsi="Literata" w:cs="Literata"/>
          <w:color w:val="210768"/>
          <w:sz w:val="20"/>
          <w:szCs w:val="20"/>
        </w:rPr>
        <w:t>tisková mluvčí Biskupství brněnského</w:t>
      </w:r>
    </w:p>
    <w:p w14:paraId="6BECB90E" w14:textId="77777777" w:rsidR="00E6052E" w:rsidRPr="001F5C5C" w:rsidRDefault="00CA623D" w:rsidP="00EE38FD">
      <w:pPr>
        <w:ind w:right="522" w:firstLine="720"/>
        <w:rPr>
          <w:rFonts w:ascii="Literata" w:eastAsia="Literata" w:hAnsi="Literata" w:cs="Literata"/>
          <w:color w:val="210768"/>
          <w:sz w:val="20"/>
          <w:szCs w:val="20"/>
        </w:rPr>
      </w:pPr>
      <w:r w:rsidRPr="001F5C5C">
        <w:rPr>
          <w:rFonts w:ascii="Literata" w:eastAsia="Literata" w:hAnsi="Literata" w:cs="Literata"/>
          <w:i/>
          <w:color w:val="210768"/>
          <w:sz w:val="20"/>
          <w:szCs w:val="20"/>
        </w:rPr>
        <w:t>E-mail:</w:t>
      </w:r>
      <w:r w:rsidRPr="001F5C5C">
        <w:rPr>
          <w:rFonts w:ascii="Literata" w:eastAsia="Literata" w:hAnsi="Literata" w:cs="Literata"/>
          <w:color w:val="210768"/>
          <w:sz w:val="20"/>
          <w:szCs w:val="20"/>
        </w:rPr>
        <w:t xml:space="preserve"> </w:t>
      </w:r>
      <w:r w:rsidRPr="001F5C5C">
        <w:rPr>
          <w:rFonts w:ascii="Literata" w:eastAsia="Literata" w:hAnsi="Literata" w:cs="Literata"/>
          <w:color w:val="210768"/>
          <w:sz w:val="20"/>
          <w:szCs w:val="20"/>
        </w:rPr>
        <w:tab/>
        <w:t>komunikace@biskupstvi.cz</w:t>
      </w:r>
    </w:p>
    <w:p w14:paraId="3A57F9DB" w14:textId="15FA7D0E" w:rsidR="004665FD" w:rsidRPr="001F5C5C" w:rsidRDefault="00CA623D" w:rsidP="00F86C86">
      <w:pPr>
        <w:ind w:right="522" w:firstLine="720"/>
        <w:rPr>
          <w:rFonts w:ascii="Literata" w:eastAsia="Literata" w:hAnsi="Literata" w:cs="Literata"/>
          <w:color w:val="210768"/>
          <w:sz w:val="20"/>
          <w:szCs w:val="20"/>
        </w:rPr>
      </w:pPr>
      <w:r w:rsidRPr="001F5C5C">
        <w:rPr>
          <w:rFonts w:ascii="Literata" w:eastAsia="Literata" w:hAnsi="Literata" w:cs="Literata"/>
          <w:i/>
          <w:color w:val="210768"/>
          <w:sz w:val="20"/>
          <w:szCs w:val="20"/>
        </w:rPr>
        <w:t>Tel.:</w:t>
      </w:r>
      <w:r w:rsidRPr="001F5C5C">
        <w:rPr>
          <w:rFonts w:ascii="Literata" w:eastAsia="Literata" w:hAnsi="Literata" w:cs="Literata"/>
          <w:color w:val="210768"/>
          <w:sz w:val="20"/>
          <w:szCs w:val="20"/>
        </w:rPr>
        <w:t xml:space="preserve"> </w:t>
      </w:r>
      <w:r w:rsidRPr="001F5C5C">
        <w:rPr>
          <w:rFonts w:ascii="Literata" w:eastAsia="Literata" w:hAnsi="Literata" w:cs="Literata"/>
          <w:color w:val="210768"/>
          <w:sz w:val="20"/>
          <w:szCs w:val="20"/>
        </w:rPr>
        <w:tab/>
        <w:t>728 218</w:t>
      </w:r>
      <w:r w:rsidR="00222791" w:rsidRPr="001F5C5C">
        <w:rPr>
          <w:rFonts w:ascii="Literata" w:eastAsia="Literata" w:hAnsi="Literata" w:cs="Literata"/>
          <w:color w:val="210768"/>
          <w:sz w:val="20"/>
          <w:szCs w:val="20"/>
        </w:rPr>
        <w:t> </w:t>
      </w:r>
      <w:r w:rsidRPr="001F5C5C">
        <w:rPr>
          <w:rFonts w:ascii="Literata" w:eastAsia="Literata" w:hAnsi="Literata" w:cs="Literata"/>
          <w:color w:val="210768"/>
          <w:sz w:val="20"/>
          <w:szCs w:val="20"/>
        </w:rPr>
        <w:t>22</w:t>
      </w:r>
      <w:r w:rsidR="00F86C86" w:rsidRPr="001F5C5C">
        <w:rPr>
          <w:rFonts w:ascii="Literata" w:eastAsia="Literata" w:hAnsi="Literata" w:cs="Literata"/>
          <w:color w:val="210768"/>
          <w:sz w:val="20"/>
          <w:szCs w:val="20"/>
        </w:rPr>
        <w:t>7</w:t>
      </w:r>
    </w:p>
    <w:sectPr w:rsidR="004665FD" w:rsidRPr="001F5C5C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ED43C6" w14:textId="77777777" w:rsidR="00384B7F" w:rsidRDefault="00384B7F">
      <w:pPr>
        <w:spacing w:line="240" w:lineRule="auto"/>
      </w:pPr>
      <w:r>
        <w:separator/>
      </w:r>
    </w:p>
  </w:endnote>
  <w:endnote w:type="continuationSeparator" w:id="0">
    <w:p w14:paraId="0F0FC3C2" w14:textId="77777777" w:rsidR="00384B7F" w:rsidRDefault="00384B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adex Pro">
    <w:altName w:val="Calibri"/>
    <w:charset w:val="00"/>
    <w:family w:val="auto"/>
    <w:pitch w:val="default"/>
    <w:embedRegular r:id="rId1" w:fontKey="{0AED3221-283A-4264-8621-2B68EF8A1691}"/>
    <w:embedBold r:id="rId2" w:fontKey="{ACF57465-9571-4B27-9D08-A55D6195386E}"/>
  </w:font>
  <w:font w:name="Literata">
    <w:altName w:val="Calibri"/>
    <w:charset w:val="00"/>
    <w:family w:val="auto"/>
    <w:pitch w:val="default"/>
    <w:embedRegular r:id="rId3" w:fontKey="{CD342761-E478-4C76-8571-CB7985B7A01F}"/>
    <w:embedBold r:id="rId4" w:fontKey="{2FEDB781-59AE-4563-98BA-9B2994A982DA}"/>
    <w:embedItalic r:id="rId5" w:fontKey="{E98711B7-8ACE-45A7-814F-CF47397C92D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5AFB125-F97E-443D-8973-7DD4D313CF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7C21EA8-B3E0-4AAC-8E34-D45D3142D2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36556" w14:textId="77777777" w:rsidR="00E6052E" w:rsidRDefault="00CA623D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697D7" w14:textId="77777777" w:rsidR="00384B7F" w:rsidRDefault="00384B7F">
      <w:pPr>
        <w:spacing w:line="240" w:lineRule="auto"/>
      </w:pPr>
      <w:r>
        <w:separator/>
      </w:r>
    </w:p>
  </w:footnote>
  <w:footnote w:type="continuationSeparator" w:id="0">
    <w:p w14:paraId="0B5EEB74" w14:textId="77777777" w:rsidR="00384B7F" w:rsidRDefault="00384B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17960" w14:textId="77777777" w:rsidR="00E6052E" w:rsidRDefault="00CA623D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3C4DCC6C" w:rsidR="00E6052E" w:rsidRDefault="00CA623D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39420B">
      <w:rPr>
        <w:rFonts w:ascii="Readex Pro" w:eastAsia="Readex Pro" w:hAnsi="Readex Pro" w:cs="Readex Pro"/>
        <w:color w:val="210768"/>
      </w:rPr>
      <w:t>1</w:t>
    </w:r>
    <w:r w:rsidR="007558B8">
      <w:rPr>
        <w:rFonts w:ascii="Readex Pro" w:eastAsia="Readex Pro" w:hAnsi="Readex Pro" w:cs="Readex Pro"/>
        <w:color w:val="210768"/>
      </w:rPr>
      <w:t>6</w:t>
    </w:r>
    <w:r>
      <w:rPr>
        <w:rFonts w:ascii="Readex Pro" w:eastAsia="Readex Pro" w:hAnsi="Readex Pro" w:cs="Readex Pro"/>
        <w:color w:val="210768"/>
      </w:rPr>
      <w:t xml:space="preserve">. </w:t>
    </w:r>
    <w:r w:rsidR="0039420B">
      <w:rPr>
        <w:rFonts w:ascii="Readex Pro" w:eastAsia="Readex Pro" w:hAnsi="Readex Pro" w:cs="Readex Pro"/>
        <w:color w:val="210768"/>
      </w:rPr>
      <w:t>10</w:t>
    </w:r>
    <w:r>
      <w:rPr>
        <w:rFonts w:ascii="Readex Pro" w:eastAsia="Readex Pro" w:hAnsi="Readex Pro" w:cs="Readex Pro"/>
        <w:color w:val="210768"/>
      </w:rPr>
      <w:t xml:space="preserve">. </w:t>
    </w:r>
    <w:r>
      <w:rPr>
        <w:rFonts w:ascii="Readex Pro" w:eastAsia="Readex Pro" w:hAnsi="Readex Pro" w:cs="Readex Pro"/>
        <w:color w:val="210768"/>
      </w:rPr>
      <w:t>2024</w:t>
    </w:r>
  </w:p>
  <w:p w14:paraId="35CF5A11" w14:textId="77777777" w:rsidR="00E6052E" w:rsidRDefault="00CA623D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7C65D5"/>
    <w:multiLevelType w:val="multilevel"/>
    <w:tmpl w:val="CA70CB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784753"/>
    <w:multiLevelType w:val="multilevel"/>
    <w:tmpl w:val="199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4622111">
    <w:abstractNumId w:val="1"/>
  </w:num>
  <w:num w:numId="2" w16cid:durableId="447698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C6BF2"/>
    <w:rsid w:val="001021CB"/>
    <w:rsid w:val="001544AC"/>
    <w:rsid w:val="001F5C5C"/>
    <w:rsid w:val="00222791"/>
    <w:rsid w:val="00274E34"/>
    <w:rsid w:val="002A5CFB"/>
    <w:rsid w:val="00384B7F"/>
    <w:rsid w:val="0039420B"/>
    <w:rsid w:val="003C1DAB"/>
    <w:rsid w:val="00405BEC"/>
    <w:rsid w:val="004665FD"/>
    <w:rsid w:val="0053164F"/>
    <w:rsid w:val="005508DC"/>
    <w:rsid w:val="0057513E"/>
    <w:rsid w:val="005B4973"/>
    <w:rsid w:val="005E2E71"/>
    <w:rsid w:val="006101F8"/>
    <w:rsid w:val="00624DE4"/>
    <w:rsid w:val="006F0CD7"/>
    <w:rsid w:val="00750CA2"/>
    <w:rsid w:val="007558B8"/>
    <w:rsid w:val="007F337C"/>
    <w:rsid w:val="00812B39"/>
    <w:rsid w:val="008B2721"/>
    <w:rsid w:val="008F4651"/>
    <w:rsid w:val="009752FE"/>
    <w:rsid w:val="009A6D2D"/>
    <w:rsid w:val="009B42F5"/>
    <w:rsid w:val="009F1381"/>
    <w:rsid w:val="00A10828"/>
    <w:rsid w:val="00AE5F38"/>
    <w:rsid w:val="00B02244"/>
    <w:rsid w:val="00B2720C"/>
    <w:rsid w:val="00B501CA"/>
    <w:rsid w:val="00B611FD"/>
    <w:rsid w:val="00BD7312"/>
    <w:rsid w:val="00CA623D"/>
    <w:rsid w:val="00CF43E1"/>
    <w:rsid w:val="00D115E5"/>
    <w:rsid w:val="00D80057"/>
    <w:rsid w:val="00E230CF"/>
    <w:rsid w:val="00E6052E"/>
    <w:rsid w:val="00E92EB3"/>
    <w:rsid w:val="00EE38FD"/>
    <w:rsid w:val="00F86C86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semiHidden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916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Jurásek</dc:creator>
  <cp:lastModifiedBy>Vojtěch Jurásek</cp:lastModifiedBy>
  <cp:revision>2</cp:revision>
  <dcterms:created xsi:type="dcterms:W3CDTF">2024-10-15T14:42:00Z</dcterms:created>
  <dcterms:modified xsi:type="dcterms:W3CDTF">2024-10-15T14:42:00Z</dcterms:modified>
</cp:coreProperties>
</file>