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right="522" w:firstLine="0"/>
        <w:rPr>
          <w:rFonts w:ascii="Readex Pro" w:cs="Readex Pro" w:eastAsia="Readex Pro" w:hAnsi="Readex Pro"/>
          <w:b w:val="1"/>
          <w:bCs w:val="1"/>
          <w:color w:val="210768"/>
          <w:sz w:val="10"/>
          <w:szCs w:val="10"/>
        </w:rPr>
      </w:pPr>
      <w:r w:rsidDel="00000000" w:rsidR="00000000" w:rsidRPr="00000000">
        <w:rPr>
          <w:rtl w:val="0"/>
        </w:rPr>
      </w:r>
    </w:p>
    <w:p w:rsidR="00000000" w:rsidDel="00000000" w:rsidP="00000000" w:rsidRDefault="00000000" w:rsidRPr="00000000" w14:paraId="00000002">
      <w:pPr>
        <w:spacing w:line="240" w:lineRule="auto"/>
        <w:ind w:left="720" w:right="522" w:firstLine="0"/>
        <w:rPr>
          <w:rFonts w:ascii="Cambria" w:cs="Cambria" w:eastAsia="Cambria" w:hAnsi="Cambria"/>
          <w:b w:val="1"/>
          <w:bCs w:val="1"/>
          <w:color w:val="000000"/>
          <w:sz w:val="15"/>
          <w:szCs w:val="15"/>
        </w:rPr>
      </w:pPr>
      <w:r w:rsidDel="00000000" w:rsidR="00000000" w:rsidRPr="00000000">
        <w:rPr>
          <w:rFonts w:ascii="Readex Pro" w:cs="Readex Pro" w:eastAsia="Readex Pro" w:hAnsi="Readex Pro"/>
          <w:b w:val="1"/>
          <w:bCs w:val="1"/>
          <w:color w:val="210768"/>
          <w:sz w:val="39"/>
          <w:szCs w:val="39"/>
          <w:rtl w:val="0"/>
        </w:rPr>
        <w:t xml:space="preserve">Kostel sv. Ignáce v Jihlavě vstupuje do další fáze obnovy. Restaurátoři začínají pracovat na vzácných freskách</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color w:val="210768"/>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10768"/>
          <w:sz w:val="20"/>
          <w:szCs w:val="20"/>
          <w:u w:val="none"/>
          <w:shd w:fill="auto" w:val="clear"/>
          <w:vertAlign w:val="baseline"/>
          <w:rtl w:val="0"/>
        </w:rPr>
        <w:t xml:space="preserve">Kostel sv. Ignáce z Loyoly v Jihlavě zahajuje fyzickou realizaci druhé etapy rozsáhlé památkové obnovy. Po dokončení několikaleté přípravné fáze vstupují do interiéru restaurátoři a stavební firmy, které budou až do roku 2029 postupně pracovat na obnově jedné z nejvýznamnějších barokních památek v regionu. Projekt realizuje Římskokatolická farnost u kostela sv. Jakuba v Jihlavě za podpory Integrovaného regionálního operačního programu 2021–2027 prostřednictvím Integrovaných teritoriálních investic Jihlavské aglomerace.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color w:val="210768"/>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color w:val="210768"/>
          <w:sz w:val="20"/>
          <w:szCs w:val="20"/>
          <w:rtl w:val="0"/>
        </w:rPr>
        <w:t xml:space="preserve">Úvodní</w:t>
      </w: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 práce druhé etapy obnovy kostela sv. Ignáce z Loyoly se zaměří na </w:t>
      </w:r>
      <w:r w:rsidDel="00000000" w:rsidR="00000000" w:rsidRPr="00000000">
        <w:rPr>
          <w:rFonts w:ascii="Cambria" w:cs="Cambria" w:eastAsia="Cambria" w:hAnsi="Cambria"/>
          <w:color w:val="210768"/>
          <w:sz w:val="20"/>
          <w:szCs w:val="20"/>
          <w:rtl w:val="0"/>
        </w:rPr>
        <w:t xml:space="preserve">restaurování</w:t>
      </w: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 nástropní fresky a výmalby presbytáře, které patří k nejcennějším částem kostela. Restaurátorské zásahy budou probíhat průběžně po celou dobu realizace projektu a vyžádají si mimořádně odborný přístup. Současně začíná také výměna části oken v horním parteru kostela, která technologicky navazuje na restaurátorské práce a umožní efektivnější využití instalovaného lešení.</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0"/>
          <w:bCs w:val="0"/>
          <w:i w:val="1"/>
          <w:iCs w:val="1"/>
          <w:smallCaps w:val="0"/>
          <w:strike w:val="0"/>
          <w:color w:val="210768"/>
          <w:sz w:val="20"/>
          <w:szCs w:val="20"/>
          <w:u w:val="none"/>
          <w:shd w:fill="auto" w:val="clear"/>
          <w:vertAlign w:val="baseline"/>
          <w:rtl w:val="0"/>
        </w:rPr>
        <w:t xml:space="preserve">„Kostel sv. Ignáce je jednou z nejvýraznějších dominant jihlavského náměstí. Jsme rádi, že se jeho obnova dostává do další fáze a že město může tento projekt podpořit,“</w:t>
      </w: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 říká primátor statutárního města Jihlavy Petr Ryška.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210768"/>
          <w:sz w:val="20"/>
          <w:szCs w:val="20"/>
          <w:u w:val="none"/>
          <w:shd w:fill="auto" w:val="clear"/>
          <w:vertAlign w:val="baseline"/>
          <w:rtl w:val="0"/>
        </w:rPr>
        <w:t xml:space="preserve">Pečlivá příprava jako základ úspěchu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Projekt byl schválen a získal dotaci již v roce 2024 a jeho iniciátoři původně předpokládali zahájení prací v jarních měsících téhož roku. Tomu však předcházela přípravná fáze, která se projevila jako časově náročnější a cennější, než se původně předpokládalo. Projektanti a restaurátoři detailně prověřili skutečný stav objektu i rozsah plánovaných zásahů přímo na místě. Na základě zjištěných skutečností bylo potřeba doplnit projektovou dokumentaci, zajistit další podklady a upravit harmonogram prací.</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Právě důkladná příprava umožnila nastavit projekt tak, aby co nejlépe odpovídal požadavkům památkové péče i budoucím potřebám kostela a jeho návštěvníků. „</w:t>
      </w:r>
      <w:r w:rsidDel="00000000" w:rsidR="00000000" w:rsidRPr="00000000">
        <w:rPr>
          <w:rFonts w:ascii="Cambria" w:cs="Cambria" w:eastAsia="Cambria" w:hAnsi="Cambria"/>
          <w:b w:val="0"/>
          <w:bCs w:val="0"/>
          <w:i w:val="1"/>
          <w:iCs w:val="1"/>
          <w:smallCaps w:val="0"/>
          <w:strike w:val="0"/>
          <w:color w:val="210768"/>
          <w:sz w:val="20"/>
          <w:szCs w:val="20"/>
          <w:u w:val="none"/>
          <w:shd w:fill="auto" w:val="clear"/>
          <w:vertAlign w:val="baseline"/>
          <w:rtl w:val="0"/>
        </w:rPr>
        <w:t xml:space="preserve">Příprava projektu nás přesvědčila, že pečlivost se vyplácí. Jsme rádi, že nyní máme před sebou jasnou cestu a že první restaurátoři jsou v kostele. Věříme, že výsledek – proměněný interiér kostela sv. Ignáce – bude stát za vynaložené úsilí,“</w:t>
      </w: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 říká jihlavský farář Marian Jiří Husek.</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Obnova bude pokračovat až do poloviny roku 2029. Vedle restaurátorských prací projekt počítá také s dílčími úpravami interiéru, které mají zlepšit komfort návštěvníků i každodenních uživatelů kostela. Přesný rozsah dalších etap bude průběžně upřesňován podle výsledků restaurátorských průzkumů a aktuálního stavu památky.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0"/>
          <w:bCs w:val="0"/>
          <w:i w:val="1"/>
          <w:iCs w:val="1"/>
          <w:smallCaps w:val="0"/>
          <w:strike w:val="0"/>
          <w:color w:val="210768"/>
          <w:sz w:val="20"/>
          <w:szCs w:val="20"/>
          <w:u w:val="none"/>
          <w:shd w:fill="auto" w:val="clear"/>
          <w:vertAlign w:val="baseline"/>
          <w:rtl w:val="0"/>
        </w:rPr>
        <w:t xml:space="preserve">„Kostel sv. Ignáce má jako duchovní a kulturní místo výjimečný potenciál. Věříme, že po dokončení obnovy přiláká ještě více návštěvníků a stane se ještě silnějším místem setkávání,“ </w:t>
      </w: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doplňuje náměstek primátora Petr Piáček.</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0"/>
          <w:bCs w:val="0"/>
          <w:i w:val="0"/>
          <w:iCs w:val="0"/>
          <w:smallCaps w:val="0"/>
          <w:strike w:val="0"/>
          <w:color w:val="210768"/>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Kostel zůstane po celou dobu prací přístupný veřejnosti v omezeném režimu. Návštěvníci tak budou moci sledovat postup restaurátorských prací i proměnu barokního interiéru přímo na místě.</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color w:val="210768"/>
          <w:sz w:val="20"/>
          <w:szCs w:val="2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iterata" w:cs="Literata" w:eastAsia="Literata" w:hAnsi="Literata"/>
          <w:color w:val="210768"/>
          <w:sz w:val="16"/>
          <w:szCs w:val="16"/>
        </w:rPr>
      </w:pPr>
      <w:r w:rsidDel="00000000" w:rsidR="00000000" w:rsidRPr="00000000">
        <w:rPr>
          <w:rFonts w:ascii="Cambria" w:cs="Cambria" w:eastAsia="Cambria" w:hAnsi="Cambria"/>
          <w:b w:val="0"/>
          <w:bCs w:val="0"/>
          <w:i w:val="0"/>
          <w:iCs w:val="0"/>
          <w:smallCaps w:val="0"/>
          <w:strike w:val="0"/>
          <w:color w:val="210768"/>
          <w:sz w:val="20"/>
          <w:szCs w:val="20"/>
          <w:u w:val="none"/>
          <w:shd w:fill="auto" w:val="clear"/>
          <w:vertAlign w:val="baseline"/>
          <w:rtl w:val="0"/>
        </w:rPr>
        <w:t xml:space="preserve">Projekt je financován z Integrovaného regionálního operačního programu 2021–2027 prostřednictvím Integrovaných teritoriálních investic Jihlavské aglomerace. Výše přiznané dotace činí 40,85 milionu korun, celkové předpokládané náklady projektu dosahují přibližně 45 milionů korun. Město Jihlava letos přispěje mimořádným příspěvkem ve výši 400 tisíc korun, na financování obnovy se podílejí také samotní farníci.</w:t>
      </w:r>
      <w:r w:rsidDel="00000000" w:rsidR="00000000" w:rsidRPr="00000000">
        <w:rPr>
          <w:rtl w:val="0"/>
        </w:rPr>
      </w:r>
    </w:p>
    <w:p w:rsidR="00000000" w:rsidDel="00000000" w:rsidP="00000000" w:rsidRDefault="00000000" w:rsidRPr="00000000" w14:paraId="00000016">
      <w:pPr>
        <w:spacing w:after="240" w:before="240" w:line="240" w:lineRule="auto"/>
        <w:ind w:left="720" w:firstLine="0"/>
        <w:jc w:val="both"/>
        <w:rPr>
          <w:rFonts w:ascii="Literata" w:cs="Literata" w:eastAsia="Literata" w:hAnsi="Literata"/>
          <w:b w:val="1"/>
          <w:bCs w:val="1"/>
          <w:color w:val="210768"/>
          <w:sz w:val="16"/>
          <w:szCs w:val="16"/>
        </w:rPr>
      </w:pPr>
      <w:r w:rsidDel="00000000" w:rsidR="00000000" w:rsidRPr="00000000">
        <w:rPr>
          <w:rFonts w:ascii="Literata" w:cs="Literata" w:eastAsia="Literata" w:hAnsi="Literata"/>
          <w:b w:val="1"/>
          <w:bCs w:val="1"/>
          <w:color w:val="210768"/>
          <w:sz w:val="16"/>
          <w:szCs w:val="16"/>
          <w:rtl w:val="0"/>
        </w:rPr>
        <w:t xml:space="preserve">Kontakt pro média:</w:t>
      </w:r>
    </w:p>
    <w:p w:rsidR="00000000" w:rsidDel="00000000" w:rsidP="00000000" w:rsidRDefault="00000000" w:rsidRPr="00000000" w14:paraId="00000017">
      <w:pPr>
        <w:spacing w:after="240" w:before="240" w:line="240" w:lineRule="auto"/>
        <w:ind w:left="720" w:firstLine="0"/>
        <w:jc w:val="both"/>
        <w:rPr>
          <w:rFonts w:ascii="Literata" w:cs="Literata" w:eastAsia="Literata" w:hAnsi="Literata"/>
          <w:b w:val="1"/>
          <w:bCs w:val="1"/>
          <w:color w:val="210768"/>
          <w:sz w:val="16"/>
          <w:szCs w:val="16"/>
        </w:rPr>
      </w:pPr>
      <w:r w:rsidDel="00000000" w:rsidR="00000000" w:rsidRPr="00000000">
        <w:rPr>
          <w:rFonts w:ascii="Literata" w:cs="Literata" w:eastAsia="Literata" w:hAnsi="Literata"/>
          <w:b w:val="1"/>
          <w:bCs w:val="1"/>
          <w:color w:val="210768"/>
          <w:sz w:val="16"/>
          <w:szCs w:val="16"/>
          <w:rtl w:val="0"/>
        </w:rPr>
        <w:t xml:space="preserve">Anežka Benešová</w:t>
      </w:r>
    </w:p>
    <w:p w:rsidR="00000000" w:rsidDel="00000000" w:rsidP="00000000" w:rsidRDefault="00000000" w:rsidRPr="00000000" w14:paraId="00000018">
      <w:pPr>
        <w:ind w:right="522" w:firstLine="720"/>
        <w:rPr>
          <w:rFonts w:ascii="Literata" w:cs="Literata" w:eastAsia="Literata" w:hAnsi="Literata"/>
          <w:color w:val="210768"/>
          <w:sz w:val="16"/>
          <w:szCs w:val="16"/>
        </w:rPr>
      </w:pPr>
      <w:r w:rsidDel="00000000" w:rsidR="00000000" w:rsidRPr="00000000">
        <w:rPr>
          <w:rFonts w:ascii="Literata" w:cs="Literata" w:eastAsia="Literata" w:hAnsi="Literata"/>
          <w:color w:val="210768"/>
          <w:sz w:val="16"/>
          <w:szCs w:val="16"/>
          <w:rtl w:val="0"/>
        </w:rPr>
        <w:t xml:space="preserve">tisková mluvčí Biskupství brněnského</w:t>
      </w:r>
    </w:p>
    <w:p w:rsidR="00000000" w:rsidDel="00000000" w:rsidP="00000000" w:rsidRDefault="00000000" w:rsidRPr="00000000" w14:paraId="00000019">
      <w:pPr>
        <w:ind w:right="522" w:firstLine="720"/>
        <w:rPr>
          <w:rFonts w:ascii="Literata" w:cs="Literata" w:eastAsia="Literata" w:hAnsi="Literata"/>
          <w:color w:val="210768"/>
          <w:sz w:val="16"/>
          <w:szCs w:val="16"/>
        </w:rPr>
      </w:pPr>
      <w:r w:rsidDel="00000000" w:rsidR="00000000" w:rsidRPr="00000000">
        <w:rPr>
          <w:rFonts w:ascii="Literata" w:cs="Literata" w:eastAsia="Literata" w:hAnsi="Literata"/>
          <w:i w:val="1"/>
          <w:iCs w:val="1"/>
          <w:color w:val="210768"/>
          <w:sz w:val="16"/>
          <w:szCs w:val="16"/>
          <w:rtl w:val="0"/>
        </w:rPr>
        <w:t xml:space="preserve">E-mail:</w:t>
      </w:r>
      <w:r w:rsidDel="00000000" w:rsidR="00000000" w:rsidRPr="00000000">
        <w:rPr>
          <w:rFonts w:ascii="Literata" w:cs="Literata" w:eastAsia="Literata" w:hAnsi="Literata"/>
          <w:color w:val="210768"/>
          <w:sz w:val="16"/>
          <w:szCs w:val="16"/>
          <w:rtl w:val="0"/>
        </w:rPr>
        <w:t xml:space="preserve"> </w:t>
        <w:tab/>
        <w:t xml:space="preserve">komunikace@biskupstvi.cz</w:t>
      </w:r>
    </w:p>
    <w:p w:rsidR="00000000" w:rsidDel="00000000" w:rsidP="00000000" w:rsidRDefault="00000000" w:rsidRPr="00000000" w14:paraId="0000001A">
      <w:pPr>
        <w:ind w:right="522" w:firstLine="720"/>
        <w:rPr>
          <w:rFonts w:ascii="Literata" w:cs="Literata" w:eastAsia="Literata" w:hAnsi="Literata"/>
          <w:color w:val="210768"/>
          <w:sz w:val="16"/>
          <w:szCs w:val="16"/>
        </w:rPr>
      </w:pPr>
      <w:r w:rsidDel="00000000" w:rsidR="00000000" w:rsidRPr="00000000">
        <w:rPr>
          <w:rFonts w:ascii="Literata" w:cs="Literata" w:eastAsia="Literata" w:hAnsi="Literata"/>
          <w:i w:val="1"/>
          <w:iCs w:val="1"/>
          <w:color w:val="210768"/>
          <w:sz w:val="16"/>
          <w:szCs w:val="16"/>
          <w:rtl w:val="0"/>
        </w:rPr>
        <w:t xml:space="preserve">Tel.:</w:t>
      </w:r>
      <w:r w:rsidDel="00000000" w:rsidR="00000000" w:rsidRPr="00000000">
        <w:rPr>
          <w:rFonts w:ascii="Literata" w:cs="Literata" w:eastAsia="Literata" w:hAnsi="Literata"/>
          <w:color w:val="210768"/>
          <w:sz w:val="16"/>
          <w:szCs w:val="16"/>
          <w:rtl w:val="0"/>
        </w:rPr>
        <w:t xml:space="preserve"> </w:t>
        <w:tab/>
        <w:t xml:space="preserve">728 218 227</w:t>
      </w:r>
    </w:p>
    <w:p w:rsidR="00000000" w:rsidDel="00000000" w:rsidP="00000000" w:rsidRDefault="00000000" w:rsidRPr="00000000" w14:paraId="0000001B">
      <w:pPr>
        <w:ind w:right="522"/>
        <w:rPr>
          <w:rFonts w:ascii="Literata" w:cs="Literata" w:eastAsia="Literata" w:hAnsi="Literata"/>
          <w:color w:val="210768"/>
          <w:sz w:val="16"/>
          <w:szCs w:val="16"/>
        </w:rPr>
      </w:pPr>
      <w:r w:rsidDel="00000000" w:rsidR="00000000" w:rsidRPr="00000000">
        <w:rPr>
          <w:rtl w:val="0"/>
        </w:rPr>
      </w:r>
    </w:p>
    <w:sectPr>
      <w:headerReference r:id="rId7" w:type="default"/>
      <w:headerReference r:id="rId8" w:type="first"/>
      <w:footerReference r:id="rId9" w:type="default"/>
      <w:pgSz w:h="16838" w:w="11906" w:orient="portrait"/>
      <w:pgMar w:bottom="1111" w:top="1559" w:left="1440" w:right="1440" w:header="56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Literat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eadex Pro">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left" w:leader="none" w:pos="989"/>
      </w:tabs>
      <w:spacing w:after="200" w:lineRule="auto"/>
      <w:ind w:left="566" w:right="-40" w:firstLine="0"/>
      <w:rPr>
        <w:rFonts w:ascii="Readex Pro" w:cs="Readex Pro" w:eastAsia="Readex Pro" w:hAnsi="Readex Pro"/>
        <w:color w:val="210768"/>
      </w:rPr>
    </w:pPr>
    <w:bookmarkStart w:colFirst="0" w:colLast="0" w:name="_heading=h.by9lan1j3zu3" w:id="0"/>
    <w:bookmarkEnd w:id="0"/>
    <w:r w:rsidDel="00000000" w:rsidR="00000000" w:rsidRPr="00000000">
      <w:rPr>
        <w:rFonts w:ascii="Readex Pro" w:cs="Readex Pro" w:eastAsia="Readex Pro" w:hAnsi="Readex Pro"/>
        <w:color w:val="210768"/>
        <w:sz w:val="18"/>
        <w:szCs w:val="18"/>
        <w:rtl w:val="0"/>
      </w:rPr>
      <w:t xml:space="preserve">Telefon: </w:t>
      <w:tab/>
      <w:t xml:space="preserve">+420 728 218 227</w:t>
      <w:tab/>
      <w:tab/>
      <w:tab/>
    </w:r>
    <w:hyperlink r:id="rId1">
      <w:r w:rsidDel="00000000" w:rsidR="00000000" w:rsidRPr="00000000">
        <w:rPr>
          <w:rFonts w:ascii="Readex Pro" w:cs="Readex Pro" w:eastAsia="Readex Pro" w:hAnsi="Readex Pro"/>
          <w:color w:val="210768"/>
          <w:sz w:val="18"/>
          <w:szCs w:val="18"/>
          <w:rtl w:val="0"/>
        </w:rPr>
        <w:t xml:space="preserve">www.biskupstvi.cz</w:t>
      </w:r>
    </w:hyperlink>
    <w:r w:rsidDel="00000000" w:rsidR="00000000" w:rsidRPr="00000000">
      <w:rPr>
        <w:rFonts w:ascii="Readex Pro" w:cs="Readex Pro" w:eastAsia="Readex Pro" w:hAnsi="Readex Pro"/>
        <w:color w:val="210768"/>
        <w:sz w:val="18"/>
        <w:szCs w:val="18"/>
        <w:rtl w:val="0"/>
      </w:rPr>
      <w:br w:type="textWrapping"/>
      <w:t xml:space="preserve">E-mail: </w:t>
      <w:tab/>
    </w:r>
    <w:hyperlink r:id="rId2">
      <w:r w:rsidDel="00000000" w:rsidR="00000000" w:rsidRPr="00000000">
        <w:rPr>
          <w:rFonts w:ascii="Readex Pro" w:cs="Readex Pro" w:eastAsia="Readex Pro" w:hAnsi="Readex Pro"/>
          <w:color w:val="210768"/>
          <w:sz w:val="18"/>
          <w:szCs w:val="18"/>
          <w:rtl w:val="0"/>
        </w:rPr>
        <w:t xml:space="preserve">komunikace@biskupstvi.cz</w:t>
      </w:r>
    </w:hyperlink>
    <w:r w:rsidDel="00000000" w:rsidR="00000000" w:rsidRPr="00000000">
      <w:rPr>
        <w:rFonts w:ascii="Readex Pro" w:cs="Readex Pro" w:eastAsia="Readex Pro" w:hAnsi="Readex Pro"/>
        <w:color w:val="210768"/>
        <w:sz w:val="18"/>
        <w:szCs w:val="18"/>
        <w:rtl w:val="0"/>
      </w:rPr>
      <w:tab/>
      <w:tab/>
      <w:t xml:space="preserve">IČ: 0445142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line="240" w:lineRule="auto"/>
      <w:ind w:right="522"/>
      <w:rPr>
        <w:rFonts w:ascii="Readex Pro" w:cs="Readex Pro" w:eastAsia="Readex Pro" w:hAnsi="Readex Pro"/>
        <w:color w:val="210768"/>
      </w:rPr>
    </w:pPr>
    <w:r w:rsidDel="00000000" w:rsidR="00000000" w:rsidRPr="00000000">
      <w:rPr>
        <w:rFonts w:ascii="Readex Pro" w:cs="Readex Pro" w:eastAsia="Readex Pro" w:hAnsi="Readex Pro"/>
        <w:color w:val="210768"/>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000" cy="10689422"/>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10689422"/>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40" w:lineRule="auto"/>
      <w:ind w:left="708" w:right="638" w:firstLine="0"/>
      <w:jc w:val="right"/>
      <w:rPr>
        <w:rFonts w:ascii="Readex Pro" w:cs="Readex Pro" w:eastAsia="Readex Pro" w:hAnsi="Readex Pro"/>
        <w:color w:val="210768"/>
      </w:rPr>
    </w:pPr>
    <w:r w:rsidDel="00000000" w:rsidR="00000000" w:rsidRPr="00000000">
      <w:rPr>
        <w:rtl w:val="0"/>
      </w:rPr>
    </w:r>
  </w:p>
  <w:p w:rsidR="00000000" w:rsidDel="00000000" w:rsidP="00000000" w:rsidRDefault="00000000" w:rsidRPr="00000000" w14:paraId="0000001E">
    <w:pPr>
      <w:spacing w:line="240" w:lineRule="auto"/>
      <w:ind w:left="708" w:right="638" w:firstLine="0"/>
      <w:jc w:val="right"/>
      <w:rPr>
        <w:rFonts w:ascii="Readex Pro" w:cs="Readex Pro" w:eastAsia="Readex Pro" w:hAnsi="Readex Pro"/>
        <w:color w:val="210768"/>
      </w:rPr>
    </w:pPr>
    <w:r w:rsidDel="00000000" w:rsidR="00000000" w:rsidRPr="00000000">
      <w:rPr>
        <w:rtl w:val="0"/>
      </w:rPr>
    </w:r>
  </w:p>
  <w:p w:rsidR="00000000" w:rsidDel="00000000" w:rsidP="00000000" w:rsidRDefault="00000000" w:rsidRPr="00000000" w14:paraId="0000001F">
    <w:pPr>
      <w:spacing w:line="240" w:lineRule="auto"/>
      <w:ind w:left="708" w:right="522" w:firstLine="0"/>
      <w:jc w:val="right"/>
      <w:rPr>
        <w:rFonts w:ascii="Readex Pro" w:cs="Readex Pro" w:eastAsia="Readex Pro" w:hAnsi="Readex Pro"/>
        <w:color w:val="210768"/>
      </w:rPr>
    </w:pPr>
    <w:r w:rsidDel="00000000" w:rsidR="00000000" w:rsidRPr="00000000">
      <w:rPr>
        <w:rFonts w:ascii="Readex Pro" w:cs="Readex Pro" w:eastAsia="Readex Pro" w:hAnsi="Readex Pro"/>
        <w:color w:val="210768"/>
        <w:rtl w:val="0"/>
      </w:rPr>
      <w:t xml:space="preserve">TISKOVÁ ZPRÁVA</w:t>
      <w:br w:type="textWrapping"/>
      <w:t xml:space="preserve">27. 5. 2026</w:t>
    </w:r>
  </w:p>
  <w:p w:rsidR="00000000" w:rsidDel="00000000" w:rsidP="00000000" w:rsidRDefault="00000000" w:rsidRPr="00000000" w14:paraId="00000020">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0000" cy="10689422"/>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60000" cy="1068942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terata-regular.ttf"/><Relationship Id="rId2" Type="http://schemas.openxmlformats.org/officeDocument/2006/relationships/font" Target="fonts/Literata-bold.ttf"/><Relationship Id="rId3" Type="http://schemas.openxmlformats.org/officeDocument/2006/relationships/font" Target="fonts/Literata-italic.ttf"/><Relationship Id="rId4" Type="http://schemas.openxmlformats.org/officeDocument/2006/relationships/font" Target="fonts/Literata-boldItalic.ttf"/><Relationship Id="rId5" Type="http://schemas.openxmlformats.org/officeDocument/2006/relationships/font" Target="fonts/ReadexPro-regular.ttf"/><Relationship Id="rId6" Type="http://schemas.openxmlformats.org/officeDocument/2006/relationships/font" Target="fonts/ReadexPro-bold.ttf"/></Relationships>
</file>

<file path=word/_rels/footer1.xml.rels><?xml version="1.0" encoding="UTF-8" standalone="yes"?><Relationships xmlns="http://schemas.openxmlformats.org/package/2006/relationships"><Relationship Id="rId1" Type="http://schemas.openxmlformats.org/officeDocument/2006/relationships/hyperlink" Target="http://www.biskupstvi.cz" TargetMode="External"/><Relationship Id="rId2" Type="http://schemas.openxmlformats.org/officeDocument/2006/relationships/hyperlink" Target="mailto:komunikace@biskupstv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alNay8Z838g/ji1qVUtZVZ1/Q==">CgMxLjAyDmguYnk5bGFuMWozenUzOAByITFFUEFKQTJfZ2IyRFlNeGgzVmF4ZW44QWtBWnN3SERvZQ==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