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48" w:rsidRDefault="00C04948" w:rsidP="001F692A">
      <w:pPr>
        <w:jc w:val="center"/>
        <w:rPr>
          <w:rFonts w:asciiTheme="minorHAnsi" w:hAnsiTheme="minorHAnsi"/>
          <w:b/>
          <w:color w:val="00B050"/>
          <w:sz w:val="28"/>
          <w:szCs w:val="28"/>
          <w:u w:val="single"/>
        </w:rPr>
      </w:pPr>
    </w:p>
    <w:p w:rsidR="00BB1C9F" w:rsidRPr="001A0542" w:rsidRDefault="00BB1C9F" w:rsidP="001F692A">
      <w:pPr>
        <w:jc w:val="center"/>
        <w:rPr>
          <w:rFonts w:asciiTheme="minorHAnsi" w:hAnsiTheme="minorHAnsi"/>
          <w:b/>
          <w:sz w:val="40"/>
          <w:szCs w:val="28"/>
          <w:u w:val="single"/>
        </w:rPr>
      </w:pPr>
      <w:r w:rsidRPr="001A0542">
        <w:rPr>
          <w:rFonts w:asciiTheme="minorHAnsi" w:hAnsiTheme="minorHAnsi"/>
          <w:b/>
          <w:sz w:val="40"/>
          <w:szCs w:val="28"/>
          <w:u w:val="single"/>
        </w:rPr>
        <w:t>Reakce ŘO IROP</w:t>
      </w:r>
      <w:r w:rsidR="008F2400" w:rsidRPr="001A0542">
        <w:rPr>
          <w:rFonts w:asciiTheme="minorHAnsi" w:hAnsiTheme="minorHAnsi"/>
          <w:b/>
          <w:sz w:val="40"/>
          <w:szCs w:val="28"/>
          <w:u w:val="single"/>
        </w:rPr>
        <w:t xml:space="preserve"> – </w:t>
      </w:r>
      <w:r w:rsidR="001A0542" w:rsidRPr="001A0542">
        <w:rPr>
          <w:rFonts w:asciiTheme="minorHAnsi" w:hAnsiTheme="minorHAnsi"/>
          <w:b/>
          <w:sz w:val="40"/>
          <w:szCs w:val="28"/>
          <w:u w:val="single"/>
        </w:rPr>
        <w:t xml:space="preserve">podněty od RSK - </w:t>
      </w:r>
      <w:r w:rsidR="008F2400" w:rsidRPr="001A0542">
        <w:rPr>
          <w:rFonts w:asciiTheme="minorHAnsi" w:hAnsiTheme="minorHAnsi"/>
          <w:b/>
          <w:sz w:val="40"/>
          <w:szCs w:val="28"/>
          <w:u w:val="single"/>
        </w:rPr>
        <w:t>únor 2016</w:t>
      </w:r>
    </w:p>
    <w:p w:rsidR="00BB1C9F" w:rsidRPr="00BB1C9F" w:rsidRDefault="00BB1C9F" w:rsidP="001F692A">
      <w:pPr>
        <w:jc w:val="center"/>
        <w:rPr>
          <w:rFonts w:asciiTheme="minorHAnsi" w:hAnsiTheme="minorHAnsi"/>
          <w:b/>
          <w:color w:val="00B050"/>
          <w:sz w:val="28"/>
          <w:szCs w:val="28"/>
          <w:u w:val="single"/>
        </w:rPr>
      </w:pPr>
    </w:p>
    <w:p w:rsidR="00B078EC" w:rsidRPr="001F692A" w:rsidRDefault="00F04B23" w:rsidP="001F692A">
      <w:pPr>
        <w:jc w:val="center"/>
        <w:rPr>
          <w:rFonts w:asciiTheme="minorHAnsi" w:hAnsiTheme="minorHAnsi"/>
          <w:b/>
          <w:u w:val="single"/>
        </w:rPr>
      </w:pPr>
      <w:r w:rsidRPr="001F692A">
        <w:rPr>
          <w:rFonts w:asciiTheme="minorHAnsi" w:hAnsiTheme="minorHAnsi"/>
          <w:b/>
          <w:u w:val="single"/>
        </w:rPr>
        <w:t xml:space="preserve">Identifikované </w:t>
      </w:r>
      <w:r w:rsidR="00B078EC" w:rsidRPr="001F692A">
        <w:rPr>
          <w:rFonts w:asciiTheme="minorHAnsi" w:hAnsiTheme="minorHAnsi"/>
          <w:b/>
          <w:u w:val="single"/>
        </w:rPr>
        <w:t xml:space="preserve">bariery, které brání či omezují předkládání projektů do </w:t>
      </w:r>
      <w:r w:rsidRPr="001F692A">
        <w:rPr>
          <w:rFonts w:asciiTheme="minorHAnsi" w:hAnsiTheme="minorHAnsi"/>
          <w:b/>
          <w:u w:val="single"/>
        </w:rPr>
        <w:t xml:space="preserve">vybraných výzev IROP </w:t>
      </w:r>
    </w:p>
    <w:p w:rsidR="000D6C3F" w:rsidRPr="001F692A" w:rsidRDefault="000D6C3F" w:rsidP="001F692A">
      <w:pPr>
        <w:rPr>
          <w:rFonts w:asciiTheme="minorHAnsi" w:hAnsiTheme="minorHAnsi"/>
          <w:i/>
        </w:rPr>
      </w:pPr>
    </w:p>
    <w:p w:rsidR="000D6C3F" w:rsidRPr="002A007C" w:rsidRDefault="000D6C3F" w:rsidP="001F692A">
      <w:pPr>
        <w:rPr>
          <w:rFonts w:asciiTheme="minorHAnsi" w:hAnsiTheme="minorHAnsi"/>
          <w:b/>
          <w:sz w:val="20"/>
          <w:szCs w:val="20"/>
        </w:rPr>
      </w:pPr>
      <w:r w:rsidRPr="002A007C">
        <w:rPr>
          <w:rFonts w:asciiTheme="minorHAnsi" w:hAnsiTheme="minorHAnsi"/>
          <w:b/>
          <w:sz w:val="20"/>
          <w:szCs w:val="20"/>
        </w:rPr>
        <w:t>Celkově ke všem SC</w:t>
      </w:r>
    </w:p>
    <w:p w:rsidR="00280C7F" w:rsidRDefault="002F7FFD" w:rsidP="00280C7F">
      <w:pPr>
        <w:pStyle w:val="Odstavecseseznamem"/>
        <w:numPr>
          <w:ilvl w:val="0"/>
          <w:numId w:val="2"/>
        </w:numPr>
        <w:ind w:left="284" w:hanging="284"/>
        <w:jc w:val="both"/>
        <w:rPr>
          <w:color w:val="000000" w:themeColor="text1"/>
          <w:sz w:val="20"/>
          <w:szCs w:val="20"/>
        </w:rPr>
      </w:pPr>
      <w:r w:rsidRPr="001F692A">
        <w:rPr>
          <w:color w:val="000000" w:themeColor="text1"/>
          <w:sz w:val="20"/>
          <w:szCs w:val="20"/>
        </w:rPr>
        <w:t xml:space="preserve">Za zásadní bariéru a administrativní překážku, omezující předkládání projektů, považujeme přístup uplatňovaný ze strany MMR a CRR, který na základě rozhodovací praxí zastávaného restriktivního výkladu ustanovení § 13 odst. 8 zákona č. 137/2006 Sb. </w:t>
      </w:r>
      <w:r w:rsidRPr="001F692A">
        <w:rPr>
          <w:b/>
          <w:bCs/>
          <w:color w:val="000000" w:themeColor="text1"/>
          <w:sz w:val="20"/>
          <w:szCs w:val="20"/>
          <w:u w:val="single"/>
        </w:rPr>
        <w:t>nutí zadavatele  sčítat  veškeré typově obdobné služby a</w:t>
      </w:r>
      <w:r w:rsidR="001F692A" w:rsidRPr="001F692A">
        <w:rPr>
          <w:b/>
          <w:bCs/>
          <w:color w:val="000000" w:themeColor="text1"/>
          <w:sz w:val="20"/>
          <w:szCs w:val="20"/>
          <w:u w:val="single"/>
        </w:rPr>
        <w:t> </w:t>
      </w:r>
      <w:r w:rsidRPr="001F692A">
        <w:rPr>
          <w:b/>
          <w:bCs/>
          <w:color w:val="000000" w:themeColor="text1"/>
          <w:sz w:val="20"/>
          <w:szCs w:val="20"/>
          <w:u w:val="single"/>
        </w:rPr>
        <w:t>dodávky bez ohledu na funkční souvislost</w:t>
      </w:r>
      <w:r w:rsidRPr="001F692A">
        <w:rPr>
          <w:color w:val="000000" w:themeColor="text1"/>
          <w:sz w:val="20"/>
          <w:szCs w:val="20"/>
        </w:rPr>
        <w:t>. Uvedený přístup  představuje zásadní  administrativní překážku zejména při zadávání zakázek na zpracování projektových dokumentací, kdy zadávání  zakázky v</w:t>
      </w:r>
      <w:r w:rsidR="001F692A" w:rsidRPr="001F692A">
        <w:rPr>
          <w:color w:val="000000" w:themeColor="text1"/>
          <w:sz w:val="20"/>
          <w:szCs w:val="20"/>
        </w:rPr>
        <w:t> </w:t>
      </w:r>
      <w:r w:rsidRPr="001F692A">
        <w:rPr>
          <w:color w:val="000000" w:themeColor="text1"/>
          <w:sz w:val="20"/>
          <w:szCs w:val="20"/>
        </w:rPr>
        <w:t>„přísnějším“ režimu podstatně prodlužuje čas potřebný pro přípravu projektů. Uvedený přístup současně diskriminuje velké zadavatele typu krajů a statutárních měst oproti zadavatelům, jejichž portfolio a objem zakázek je podstatně nižší, a současně dle našeho názoru ani neodpovídá zásadě proporcionality a</w:t>
      </w:r>
      <w:r w:rsidR="001F692A" w:rsidRPr="001F692A">
        <w:rPr>
          <w:color w:val="000000" w:themeColor="text1"/>
          <w:sz w:val="20"/>
          <w:szCs w:val="20"/>
        </w:rPr>
        <w:t> </w:t>
      </w:r>
      <w:r w:rsidRPr="001F692A">
        <w:rPr>
          <w:color w:val="000000" w:themeColor="text1"/>
          <w:sz w:val="20"/>
          <w:szCs w:val="20"/>
        </w:rPr>
        <w:t>rozumnému uspřádání věci. Veškerá dosavadní aktivity kraje změnit uvedený přístup MMR (CRR) nebyly úspěšné.</w:t>
      </w:r>
    </w:p>
    <w:p w:rsidR="00984020" w:rsidRDefault="00984020" w:rsidP="00984020">
      <w:pPr>
        <w:pStyle w:val="Odstavecseseznamem"/>
        <w:ind w:left="284"/>
        <w:jc w:val="both"/>
        <w:rPr>
          <w:color w:val="000000" w:themeColor="text1"/>
          <w:sz w:val="20"/>
          <w:szCs w:val="20"/>
        </w:rPr>
      </w:pPr>
    </w:p>
    <w:p w:rsidR="00280C7F" w:rsidRPr="00280C7F" w:rsidRDefault="00280C7F" w:rsidP="00280C7F">
      <w:pPr>
        <w:pStyle w:val="Odstavecseseznamem"/>
        <w:ind w:left="284"/>
        <w:jc w:val="both"/>
        <w:rPr>
          <w:color w:val="000000" w:themeColor="text1"/>
          <w:sz w:val="20"/>
          <w:szCs w:val="20"/>
        </w:rPr>
      </w:pPr>
      <w:r w:rsidRPr="00280C7F">
        <w:rPr>
          <w:b/>
          <w:color w:val="000000" w:themeColor="text1"/>
          <w:sz w:val="20"/>
          <w:szCs w:val="20"/>
        </w:rPr>
        <w:t>Reakce ŘO IROP</w:t>
      </w:r>
    </w:p>
    <w:tbl>
      <w:tblPr>
        <w:tblStyle w:val="Mkatabulky"/>
        <w:tblW w:w="0" w:type="auto"/>
        <w:tblInd w:w="392" w:type="dxa"/>
        <w:tblLook w:val="04A0"/>
      </w:tblPr>
      <w:tblGrid>
        <w:gridCol w:w="8896"/>
      </w:tblGrid>
      <w:tr w:rsidR="00280C7F" w:rsidTr="00930A5D">
        <w:tc>
          <w:tcPr>
            <w:tcW w:w="8896" w:type="dxa"/>
          </w:tcPr>
          <w:p w:rsidR="00280C7F" w:rsidRDefault="002717CA" w:rsidP="00050E2D">
            <w:pPr>
              <w:pStyle w:val="Odstavecseseznamem"/>
              <w:ind w:left="0"/>
              <w:jc w:val="both"/>
              <w:rPr>
                <w:color w:val="000000" w:themeColor="text1"/>
                <w:sz w:val="20"/>
                <w:szCs w:val="20"/>
              </w:rPr>
            </w:pPr>
            <w:r w:rsidRPr="00050E2D">
              <w:rPr>
                <w:color w:val="365F91" w:themeColor="accent1" w:themeShade="BF"/>
                <w:sz w:val="20"/>
                <w:szCs w:val="20"/>
              </w:rPr>
              <w:t>P</w:t>
            </w:r>
            <w:r w:rsidR="009C7F8B" w:rsidRPr="00050E2D">
              <w:rPr>
                <w:color w:val="365F91" w:themeColor="accent1" w:themeShade="BF"/>
                <w:sz w:val="20"/>
                <w:szCs w:val="20"/>
              </w:rPr>
              <w:t>ři posouzení souladu postupu zadavatele se zákonem o veřejných zakázkách budou kontroly, nezávislé na ŘO IROP a CRR ČR, vycházet z rozhodovací praxe soudů a Úřadu pro ochranu hospodářské soutěže. Pokud by tedy ŘO IROP postupoval odlišně, vystavoval by své příjemce nebezpečí, že jim bude odebrána podpora nebo její část na základě zjištění kontrol mimo působnost ŘO IROP nebo CRR ČR.</w:t>
            </w:r>
          </w:p>
        </w:tc>
      </w:tr>
    </w:tbl>
    <w:p w:rsidR="00280C7F" w:rsidRDefault="00280C7F" w:rsidP="00280C7F">
      <w:pPr>
        <w:pStyle w:val="Odstavecseseznamem"/>
        <w:ind w:left="284"/>
        <w:jc w:val="both"/>
        <w:rPr>
          <w:color w:val="000000" w:themeColor="text1"/>
          <w:sz w:val="20"/>
          <w:szCs w:val="20"/>
        </w:rPr>
      </w:pPr>
    </w:p>
    <w:p w:rsidR="00B84C3F" w:rsidRDefault="002F7FFD" w:rsidP="00B84C3F">
      <w:pPr>
        <w:pStyle w:val="Odstavecseseznamem"/>
        <w:numPr>
          <w:ilvl w:val="0"/>
          <w:numId w:val="2"/>
        </w:numPr>
        <w:ind w:left="284" w:hanging="284"/>
        <w:jc w:val="both"/>
        <w:rPr>
          <w:rFonts w:asciiTheme="minorHAnsi" w:hAnsiTheme="minorHAnsi"/>
          <w:color w:val="000000" w:themeColor="text1"/>
          <w:sz w:val="20"/>
          <w:szCs w:val="20"/>
        </w:rPr>
      </w:pPr>
      <w:r w:rsidRPr="001F692A">
        <w:rPr>
          <w:rFonts w:asciiTheme="minorHAnsi" w:hAnsiTheme="minorHAnsi"/>
          <w:sz w:val="20"/>
          <w:szCs w:val="20"/>
          <w:u w:val="single"/>
        </w:rPr>
        <w:t>Povinné přílohy k žádosti:</w:t>
      </w:r>
      <w:r w:rsidRPr="001F692A">
        <w:rPr>
          <w:rFonts w:asciiTheme="minorHAnsi" w:hAnsiTheme="minorHAnsi"/>
          <w:sz w:val="20"/>
          <w:szCs w:val="20"/>
        </w:rPr>
        <w:t xml:space="preserve"> </w:t>
      </w:r>
      <w:r w:rsidR="000D6C3F" w:rsidRPr="001F692A">
        <w:rPr>
          <w:rFonts w:asciiTheme="minorHAnsi" w:hAnsiTheme="minorHAnsi"/>
          <w:color w:val="000000" w:themeColor="text1"/>
          <w:sz w:val="20"/>
          <w:szCs w:val="20"/>
        </w:rPr>
        <w:t xml:space="preserve">Žadatel dokládá projektovou dokumentaci v podrobnosti pro vydání stavebního povolení. </w:t>
      </w:r>
    </w:p>
    <w:p w:rsidR="00984020" w:rsidRDefault="00984020" w:rsidP="00984020">
      <w:pPr>
        <w:pStyle w:val="Odstavecseseznamem"/>
        <w:ind w:left="284"/>
        <w:jc w:val="both"/>
        <w:rPr>
          <w:rFonts w:asciiTheme="minorHAnsi" w:hAnsiTheme="minorHAnsi"/>
          <w:color w:val="000000" w:themeColor="text1"/>
          <w:sz w:val="20"/>
          <w:szCs w:val="20"/>
        </w:rPr>
      </w:pPr>
    </w:p>
    <w:p w:rsidR="00B84C3F" w:rsidRPr="00B84C3F" w:rsidRDefault="00B84C3F" w:rsidP="00B84C3F">
      <w:pPr>
        <w:pStyle w:val="Odstavecseseznamem"/>
        <w:ind w:left="284"/>
        <w:jc w:val="both"/>
        <w:rPr>
          <w:rFonts w:asciiTheme="minorHAnsi" w:hAnsiTheme="minorHAnsi"/>
          <w:color w:val="000000" w:themeColor="text1"/>
          <w:sz w:val="20"/>
          <w:szCs w:val="20"/>
        </w:rPr>
      </w:pPr>
      <w:r w:rsidRPr="00B84C3F">
        <w:rPr>
          <w:b/>
          <w:color w:val="000000" w:themeColor="text1"/>
          <w:sz w:val="20"/>
          <w:szCs w:val="20"/>
        </w:rPr>
        <w:t>Reakce ŘO IROP</w:t>
      </w:r>
    </w:p>
    <w:tbl>
      <w:tblPr>
        <w:tblStyle w:val="Mkatabulky"/>
        <w:tblW w:w="0" w:type="auto"/>
        <w:tblInd w:w="392" w:type="dxa"/>
        <w:tblLook w:val="04A0"/>
      </w:tblPr>
      <w:tblGrid>
        <w:gridCol w:w="8896"/>
      </w:tblGrid>
      <w:tr w:rsidR="00B84C3F" w:rsidTr="005D01BF">
        <w:tc>
          <w:tcPr>
            <w:tcW w:w="8896" w:type="dxa"/>
          </w:tcPr>
          <w:p w:rsidR="00B84C3F" w:rsidRPr="00050E2D" w:rsidRDefault="00B84C3F" w:rsidP="000A3C2A">
            <w:pPr>
              <w:pStyle w:val="Odstavecseseznamem"/>
              <w:ind w:left="0"/>
              <w:jc w:val="both"/>
              <w:rPr>
                <w:color w:val="365F91" w:themeColor="accent1" w:themeShade="BF"/>
                <w:sz w:val="20"/>
                <w:szCs w:val="20"/>
              </w:rPr>
            </w:pPr>
            <w:r w:rsidRPr="00050E2D">
              <w:rPr>
                <w:color w:val="365F91" w:themeColor="accent1" w:themeShade="BF"/>
                <w:sz w:val="20"/>
                <w:szCs w:val="20"/>
              </w:rPr>
              <w:t xml:space="preserve">Pokud je předmětem projektu výstavba, je logická a pro žadatele stejně nezbytné tuto dokumentaci vytvořit a předložit pro stavební povolení, které musí doložit do vydání rozhodnutí - „Žadatel musí doložit stavební povolení s nabytím právní moci nebo souhlas s provedením ohlášeného stavebního záměru nejpozději do vydání Rozhodnutí.“ </w:t>
            </w:r>
          </w:p>
        </w:tc>
      </w:tr>
    </w:tbl>
    <w:p w:rsidR="00B84C3F" w:rsidRPr="00B84C3F" w:rsidRDefault="00B84C3F" w:rsidP="00B84C3F">
      <w:pPr>
        <w:pStyle w:val="Odstavecseseznamem"/>
        <w:ind w:left="284"/>
        <w:jc w:val="both"/>
        <w:rPr>
          <w:rFonts w:asciiTheme="minorHAnsi" w:hAnsiTheme="minorHAnsi"/>
          <w:color w:val="000000" w:themeColor="text1"/>
          <w:sz w:val="20"/>
          <w:szCs w:val="20"/>
        </w:rPr>
      </w:pPr>
    </w:p>
    <w:p w:rsidR="000D6C3F" w:rsidRPr="001F692A" w:rsidRDefault="002F7FFD" w:rsidP="001F692A">
      <w:pPr>
        <w:pStyle w:val="Odstavecseseznamem"/>
        <w:numPr>
          <w:ilvl w:val="0"/>
          <w:numId w:val="2"/>
        </w:numPr>
        <w:ind w:left="284" w:hanging="284"/>
        <w:jc w:val="both"/>
        <w:rPr>
          <w:rFonts w:asciiTheme="minorHAnsi" w:hAnsiTheme="minorHAnsi"/>
          <w:color w:val="000000" w:themeColor="text1"/>
          <w:sz w:val="20"/>
          <w:szCs w:val="20"/>
        </w:rPr>
      </w:pPr>
      <w:r w:rsidRPr="001F692A">
        <w:rPr>
          <w:rFonts w:asciiTheme="minorHAnsi" w:hAnsiTheme="minorHAnsi"/>
          <w:sz w:val="20"/>
          <w:szCs w:val="20"/>
          <w:u w:val="single"/>
        </w:rPr>
        <w:t>Povinné přílohy k žádosti:</w:t>
      </w:r>
      <w:r w:rsidRPr="001F692A">
        <w:rPr>
          <w:rFonts w:asciiTheme="minorHAnsi" w:hAnsiTheme="minorHAnsi"/>
          <w:sz w:val="20"/>
          <w:szCs w:val="20"/>
        </w:rPr>
        <w:t xml:space="preserve"> </w:t>
      </w:r>
      <w:r w:rsidR="000D6C3F" w:rsidRPr="001F692A">
        <w:rPr>
          <w:rFonts w:asciiTheme="minorHAnsi" w:hAnsiTheme="minorHAnsi" w:cs="Arial"/>
          <w:color w:val="000000" w:themeColor="text1"/>
          <w:sz w:val="20"/>
          <w:szCs w:val="20"/>
        </w:rPr>
        <w:t xml:space="preserve">Žadatel dokládá položkový rozpočet stavby podle jednotného ceníku stavebních prací v cenové úrovni ne starší než k r. 2014 ve formě oceněného soupisu prací potvrzeného autorizovaným projektantem a dále také v obecném rozpočtovém formátu (*.orf). </w:t>
      </w:r>
      <w:r w:rsidR="000D6C3F" w:rsidRPr="001F692A">
        <w:rPr>
          <w:rFonts w:asciiTheme="minorHAnsi" w:eastAsia="Calibri" w:hAnsiTheme="minorHAnsi" w:cs="Arial"/>
          <w:color w:val="000000" w:themeColor="text1"/>
          <w:sz w:val="20"/>
          <w:szCs w:val="20"/>
        </w:rPr>
        <w:t xml:space="preserve"> V rozpočtu musí být uveden název použitého jednotného ceníku (cenové soustavy). V případě, že proběhlo zadávací řízení na zhotovitele stavby, předkládá žadatel také vysoutěženou cenovou nabídku. </w:t>
      </w:r>
    </w:p>
    <w:p w:rsidR="000D6C3F" w:rsidRDefault="000D6C3F" w:rsidP="000E0C91">
      <w:pPr>
        <w:ind w:left="284"/>
        <w:jc w:val="both"/>
        <w:rPr>
          <w:rFonts w:asciiTheme="minorHAnsi" w:hAnsiTheme="minorHAnsi"/>
          <w:i/>
          <w:color w:val="000000" w:themeColor="text1"/>
          <w:sz w:val="20"/>
          <w:szCs w:val="20"/>
        </w:rPr>
      </w:pPr>
      <w:r w:rsidRPr="001F692A">
        <w:rPr>
          <w:rFonts w:asciiTheme="minorHAnsi" w:eastAsia="Calibri" w:hAnsiTheme="minorHAnsi" w:cs="Arial"/>
          <w:i/>
          <w:color w:val="000000" w:themeColor="text1"/>
          <w:sz w:val="20"/>
          <w:szCs w:val="20"/>
        </w:rPr>
        <w:t>(V projektové dokumentac</w:t>
      </w:r>
      <w:r w:rsidR="00F168A4" w:rsidRPr="001F692A">
        <w:rPr>
          <w:rFonts w:asciiTheme="minorHAnsi" w:eastAsia="Calibri" w:hAnsiTheme="minorHAnsi" w:cs="Arial"/>
          <w:i/>
          <w:color w:val="000000" w:themeColor="text1"/>
          <w:sz w:val="20"/>
          <w:szCs w:val="20"/>
        </w:rPr>
        <w:t>i</w:t>
      </w:r>
      <w:r w:rsidRPr="001F692A">
        <w:rPr>
          <w:rFonts w:asciiTheme="minorHAnsi" w:eastAsia="Calibri" w:hAnsiTheme="minorHAnsi" w:cs="Arial"/>
          <w:i/>
          <w:color w:val="000000" w:themeColor="text1"/>
          <w:sz w:val="20"/>
          <w:szCs w:val="20"/>
        </w:rPr>
        <w:t xml:space="preserve"> </w:t>
      </w:r>
      <w:r w:rsidRPr="001F692A">
        <w:rPr>
          <w:rFonts w:asciiTheme="minorHAnsi" w:hAnsiTheme="minorHAnsi"/>
          <w:i/>
          <w:color w:val="000000" w:themeColor="text1"/>
          <w:sz w:val="20"/>
          <w:szCs w:val="20"/>
        </w:rPr>
        <w:t>v podrobnosti pro vydání stavebního povolení</w:t>
      </w:r>
      <w:r w:rsidRPr="001F692A">
        <w:rPr>
          <w:rFonts w:asciiTheme="minorHAnsi" w:eastAsia="Calibri" w:hAnsiTheme="minorHAnsi" w:cs="Arial"/>
          <w:i/>
          <w:color w:val="000000" w:themeColor="text1"/>
          <w:sz w:val="20"/>
          <w:szCs w:val="20"/>
        </w:rPr>
        <w:t xml:space="preserve"> je propočet, nikoliv položkový rozpočet. Ten je až součástí </w:t>
      </w:r>
      <w:r w:rsidR="00432153" w:rsidRPr="001F692A">
        <w:rPr>
          <w:rFonts w:asciiTheme="minorHAnsi" w:eastAsia="Calibri" w:hAnsiTheme="minorHAnsi" w:cs="Arial"/>
          <w:i/>
          <w:color w:val="000000" w:themeColor="text1"/>
          <w:sz w:val="20"/>
          <w:szCs w:val="20"/>
        </w:rPr>
        <w:t xml:space="preserve">dalšího </w:t>
      </w:r>
      <w:r w:rsidRPr="001F692A">
        <w:rPr>
          <w:rFonts w:asciiTheme="minorHAnsi" w:eastAsia="Calibri" w:hAnsiTheme="minorHAnsi" w:cs="Arial"/>
          <w:i/>
          <w:color w:val="000000" w:themeColor="text1"/>
          <w:sz w:val="20"/>
          <w:szCs w:val="20"/>
        </w:rPr>
        <w:t>stupně PD –</w:t>
      </w:r>
      <w:r w:rsidRPr="001F692A">
        <w:rPr>
          <w:rFonts w:asciiTheme="minorHAnsi" w:hAnsiTheme="minorHAnsi"/>
          <w:i/>
          <w:color w:val="000000" w:themeColor="text1"/>
          <w:sz w:val="20"/>
          <w:szCs w:val="20"/>
        </w:rPr>
        <w:t xml:space="preserve"> dokumentace pro provedení stavby/zadávací dokumentace. Tzn.</w:t>
      </w:r>
      <w:r w:rsidR="00F168A4" w:rsidRPr="001F692A">
        <w:rPr>
          <w:rFonts w:asciiTheme="minorHAnsi" w:hAnsiTheme="minorHAnsi"/>
          <w:i/>
          <w:color w:val="000000" w:themeColor="text1"/>
          <w:sz w:val="20"/>
          <w:szCs w:val="20"/>
        </w:rPr>
        <w:t xml:space="preserve"> </w:t>
      </w:r>
      <w:r w:rsidRPr="001F692A">
        <w:rPr>
          <w:rFonts w:asciiTheme="minorHAnsi" w:hAnsiTheme="minorHAnsi"/>
          <w:i/>
          <w:color w:val="000000" w:themeColor="text1"/>
          <w:sz w:val="20"/>
          <w:szCs w:val="20"/>
        </w:rPr>
        <w:t xml:space="preserve"> že k žádosti </w:t>
      </w:r>
      <w:r w:rsidR="00432153" w:rsidRPr="001F692A">
        <w:rPr>
          <w:rFonts w:asciiTheme="minorHAnsi" w:hAnsiTheme="minorHAnsi"/>
          <w:i/>
          <w:color w:val="000000" w:themeColor="text1"/>
          <w:sz w:val="20"/>
          <w:szCs w:val="20"/>
        </w:rPr>
        <w:t>o dotaci ne</w:t>
      </w:r>
      <w:r w:rsidR="002F7FFD" w:rsidRPr="001F692A">
        <w:rPr>
          <w:rFonts w:asciiTheme="minorHAnsi" w:hAnsiTheme="minorHAnsi"/>
          <w:i/>
          <w:color w:val="000000" w:themeColor="text1"/>
          <w:sz w:val="20"/>
          <w:szCs w:val="20"/>
        </w:rPr>
        <w:t>postačuje</w:t>
      </w:r>
      <w:r w:rsidR="00FF7875" w:rsidRPr="001F692A">
        <w:rPr>
          <w:rFonts w:asciiTheme="minorHAnsi" w:hAnsiTheme="minorHAnsi"/>
          <w:i/>
          <w:color w:val="000000" w:themeColor="text1"/>
          <w:sz w:val="20"/>
          <w:szCs w:val="20"/>
        </w:rPr>
        <w:t xml:space="preserve"> </w:t>
      </w:r>
      <w:r w:rsidR="00432153" w:rsidRPr="001F692A">
        <w:rPr>
          <w:rFonts w:asciiTheme="minorHAnsi" w:hAnsiTheme="minorHAnsi"/>
          <w:i/>
          <w:color w:val="000000" w:themeColor="text1"/>
          <w:sz w:val="20"/>
          <w:szCs w:val="20"/>
        </w:rPr>
        <w:t xml:space="preserve">dokumentace v podrobnosti pro vydání stavebního povolení, ale </w:t>
      </w:r>
      <w:r w:rsidR="00FF7875" w:rsidRPr="001F692A">
        <w:rPr>
          <w:rFonts w:asciiTheme="minorHAnsi" w:hAnsiTheme="minorHAnsi"/>
          <w:i/>
          <w:color w:val="000000" w:themeColor="text1"/>
          <w:sz w:val="20"/>
          <w:szCs w:val="20"/>
        </w:rPr>
        <w:t xml:space="preserve">je nutné mít </w:t>
      </w:r>
      <w:r w:rsidR="00432153" w:rsidRPr="001F692A">
        <w:rPr>
          <w:rFonts w:asciiTheme="minorHAnsi" w:hAnsiTheme="minorHAnsi"/>
          <w:i/>
          <w:color w:val="000000" w:themeColor="text1"/>
          <w:sz w:val="20"/>
          <w:szCs w:val="20"/>
        </w:rPr>
        <w:t>vyšší stupeň</w:t>
      </w:r>
      <w:r w:rsidR="00FF7875" w:rsidRPr="001F692A">
        <w:rPr>
          <w:rFonts w:asciiTheme="minorHAnsi" w:hAnsiTheme="minorHAnsi"/>
          <w:i/>
          <w:color w:val="000000" w:themeColor="text1"/>
          <w:sz w:val="20"/>
          <w:szCs w:val="20"/>
        </w:rPr>
        <w:t xml:space="preserve"> PD</w:t>
      </w:r>
      <w:r w:rsidR="00837415" w:rsidRPr="001F692A">
        <w:rPr>
          <w:rFonts w:asciiTheme="minorHAnsi" w:hAnsiTheme="minorHAnsi"/>
          <w:i/>
          <w:color w:val="000000" w:themeColor="text1"/>
          <w:sz w:val="20"/>
          <w:szCs w:val="20"/>
        </w:rPr>
        <w:t xml:space="preserve"> (časově náročnější)</w:t>
      </w:r>
      <w:r w:rsidR="00432153" w:rsidRPr="001F692A">
        <w:rPr>
          <w:rFonts w:asciiTheme="minorHAnsi" w:hAnsiTheme="minorHAnsi"/>
          <w:i/>
          <w:color w:val="000000" w:themeColor="text1"/>
          <w:sz w:val="20"/>
          <w:szCs w:val="20"/>
        </w:rPr>
        <w:t>.</w:t>
      </w:r>
    </w:p>
    <w:p w:rsidR="00984020" w:rsidRDefault="00984020" w:rsidP="000E0C91">
      <w:pPr>
        <w:ind w:left="284"/>
        <w:jc w:val="both"/>
        <w:rPr>
          <w:rFonts w:asciiTheme="minorHAnsi" w:hAnsiTheme="minorHAnsi"/>
          <w:i/>
          <w:color w:val="000000" w:themeColor="text1"/>
          <w:sz w:val="20"/>
          <w:szCs w:val="20"/>
        </w:rPr>
      </w:pPr>
    </w:p>
    <w:p w:rsidR="008A36A8" w:rsidRPr="008A36A8" w:rsidRDefault="008A36A8" w:rsidP="008A36A8">
      <w:pPr>
        <w:pStyle w:val="Odstavecseseznamem"/>
        <w:ind w:left="284"/>
        <w:jc w:val="both"/>
        <w:rPr>
          <w:b/>
          <w:color w:val="000000" w:themeColor="text1"/>
          <w:sz w:val="20"/>
          <w:szCs w:val="20"/>
        </w:rPr>
      </w:pPr>
      <w:r w:rsidRPr="008A36A8">
        <w:rPr>
          <w:b/>
          <w:color w:val="000000" w:themeColor="text1"/>
          <w:sz w:val="20"/>
          <w:szCs w:val="20"/>
        </w:rPr>
        <w:t>Reakce ŘO IROP</w:t>
      </w:r>
    </w:p>
    <w:tbl>
      <w:tblPr>
        <w:tblStyle w:val="Mkatabulky"/>
        <w:tblW w:w="0" w:type="auto"/>
        <w:tblInd w:w="392" w:type="dxa"/>
        <w:tblLook w:val="04A0"/>
      </w:tblPr>
      <w:tblGrid>
        <w:gridCol w:w="8896"/>
      </w:tblGrid>
      <w:tr w:rsidR="008A36A8" w:rsidTr="00930A5D">
        <w:tc>
          <w:tcPr>
            <w:tcW w:w="8896" w:type="dxa"/>
          </w:tcPr>
          <w:p w:rsidR="008A36A8" w:rsidRDefault="00214A59" w:rsidP="00357912">
            <w:pPr>
              <w:pStyle w:val="Odstavecseseznamem"/>
              <w:ind w:left="0"/>
              <w:jc w:val="both"/>
              <w:rPr>
                <w:color w:val="000000" w:themeColor="text1"/>
                <w:sz w:val="20"/>
                <w:szCs w:val="20"/>
              </w:rPr>
            </w:pPr>
            <w:r w:rsidRPr="00214A59">
              <w:rPr>
                <w:color w:val="365F91" w:themeColor="accent1" w:themeShade="BF"/>
                <w:sz w:val="20"/>
                <w:szCs w:val="20"/>
              </w:rPr>
              <w:t xml:space="preserve">Požadavek na doložení položkového rozpočtu stavby </w:t>
            </w:r>
            <w:r w:rsidR="00357912">
              <w:rPr>
                <w:color w:val="365F91" w:themeColor="accent1" w:themeShade="BF"/>
                <w:sz w:val="20"/>
                <w:szCs w:val="20"/>
              </w:rPr>
              <w:t>je obvyklou přílohou</w:t>
            </w:r>
            <w:r w:rsidRPr="00214A59">
              <w:rPr>
                <w:color w:val="365F91" w:themeColor="accent1" w:themeShade="BF"/>
                <w:sz w:val="20"/>
                <w:szCs w:val="20"/>
              </w:rPr>
              <w:t> žádost</w:t>
            </w:r>
            <w:r w:rsidR="00357912">
              <w:rPr>
                <w:color w:val="365F91" w:themeColor="accent1" w:themeShade="BF"/>
                <w:sz w:val="20"/>
                <w:szCs w:val="20"/>
              </w:rPr>
              <w:t>í v</w:t>
            </w:r>
            <w:r w:rsidRPr="00214A59">
              <w:rPr>
                <w:color w:val="365F91" w:themeColor="accent1" w:themeShade="BF"/>
                <w:sz w:val="20"/>
                <w:szCs w:val="20"/>
              </w:rPr>
              <w:t xml:space="preserve"> dotačních program</w:t>
            </w:r>
            <w:r w:rsidR="00357912">
              <w:rPr>
                <w:color w:val="365F91" w:themeColor="accent1" w:themeShade="BF"/>
                <w:sz w:val="20"/>
                <w:szCs w:val="20"/>
              </w:rPr>
              <w:t>ech</w:t>
            </w:r>
            <w:r w:rsidRPr="00214A59">
              <w:rPr>
                <w:color w:val="365F91" w:themeColor="accent1" w:themeShade="BF"/>
                <w:sz w:val="20"/>
                <w:szCs w:val="20"/>
              </w:rPr>
              <w:t xml:space="preserve">. Všechny stavební aktivity musí být v době předložení žádosti jednoznačně vymezeny v projektové dokumentaci (nejčastěji pro stavební povolení), která je dostatečným podkladem pro sestavení položkového rozpočtu stavby. </w:t>
            </w:r>
            <w:r w:rsidR="00357912">
              <w:rPr>
                <w:color w:val="365F91" w:themeColor="accent1" w:themeShade="BF"/>
                <w:sz w:val="20"/>
                <w:szCs w:val="20"/>
              </w:rPr>
              <w:t>Ú</w:t>
            </w:r>
            <w:r w:rsidRPr="00214A59">
              <w:rPr>
                <w:color w:val="365F91" w:themeColor="accent1" w:themeShade="BF"/>
                <w:sz w:val="20"/>
                <w:szCs w:val="20"/>
              </w:rPr>
              <w:t xml:space="preserve">pravy v rozpočtu mohou být podkladem pro </w:t>
            </w:r>
            <w:r w:rsidR="00357912">
              <w:rPr>
                <w:color w:val="365F91" w:themeColor="accent1" w:themeShade="BF"/>
                <w:sz w:val="20"/>
                <w:szCs w:val="20"/>
              </w:rPr>
              <w:t xml:space="preserve">předložení </w:t>
            </w:r>
            <w:r w:rsidRPr="00214A59">
              <w:rPr>
                <w:color w:val="365F91" w:themeColor="accent1" w:themeShade="BF"/>
                <w:sz w:val="20"/>
                <w:szCs w:val="20"/>
              </w:rPr>
              <w:t>Žádost</w:t>
            </w:r>
            <w:r w:rsidR="00357912">
              <w:rPr>
                <w:color w:val="365F91" w:themeColor="accent1" w:themeShade="BF"/>
                <w:sz w:val="20"/>
                <w:szCs w:val="20"/>
              </w:rPr>
              <w:t>i</w:t>
            </w:r>
            <w:r w:rsidRPr="00214A59">
              <w:rPr>
                <w:color w:val="365F91" w:themeColor="accent1" w:themeShade="BF"/>
                <w:sz w:val="20"/>
                <w:szCs w:val="20"/>
              </w:rPr>
              <w:t xml:space="preserve"> o změnu v projektu.</w:t>
            </w:r>
          </w:p>
        </w:tc>
      </w:tr>
    </w:tbl>
    <w:p w:rsidR="002F7FFD" w:rsidRPr="001F692A" w:rsidRDefault="002F7FFD" w:rsidP="001F692A">
      <w:pPr>
        <w:jc w:val="both"/>
        <w:rPr>
          <w:rFonts w:asciiTheme="minorHAnsi" w:hAnsiTheme="minorHAnsi"/>
          <w:sz w:val="20"/>
          <w:szCs w:val="20"/>
        </w:rPr>
      </w:pPr>
    </w:p>
    <w:p w:rsidR="00F6232E" w:rsidRPr="001F692A" w:rsidRDefault="00F6232E" w:rsidP="001F692A">
      <w:pPr>
        <w:rPr>
          <w:rFonts w:asciiTheme="minorHAnsi" w:hAnsiTheme="minorHAnsi" w:cs="Arial"/>
          <w:b/>
          <w:sz w:val="20"/>
          <w:szCs w:val="20"/>
        </w:rPr>
      </w:pPr>
      <w:r w:rsidRPr="001F692A">
        <w:rPr>
          <w:rFonts w:asciiTheme="minorHAnsi" w:hAnsiTheme="minorHAnsi" w:cs="Arial"/>
          <w:b/>
          <w:sz w:val="20"/>
          <w:szCs w:val="20"/>
        </w:rPr>
        <w:t xml:space="preserve">SC 1.1 </w:t>
      </w:r>
      <w:r w:rsidR="00541ABA" w:rsidRPr="001F692A">
        <w:rPr>
          <w:rFonts w:asciiTheme="minorHAnsi" w:hAnsiTheme="minorHAnsi" w:cs="Arial"/>
          <w:b/>
          <w:sz w:val="20"/>
          <w:szCs w:val="20"/>
        </w:rPr>
        <w:t>silnice</w:t>
      </w:r>
    </w:p>
    <w:p w:rsidR="00F6232E" w:rsidRDefault="00F6232E" w:rsidP="001F692A">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 xml:space="preserve">Specifická pravidla pro žadatele a příjemce specifického cíle 1.1 chybně odkazují v kapitole 2.4 Povinné přílohy k žádosti na přílohy Obecných pravidel č.  12 a 11. Číslování těchto příloh je chybné. </w:t>
      </w:r>
    </w:p>
    <w:p w:rsidR="00984020" w:rsidRPr="001F692A" w:rsidRDefault="00984020" w:rsidP="00984020">
      <w:pPr>
        <w:pStyle w:val="Odstavecseseznamem"/>
        <w:ind w:left="284"/>
        <w:jc w:val="both"/>
        <w:rPr>
          <w:rFonts w:asciiTheme="minorHAnsi" w:hAnsiTheme="minorHAnsi" w:cs="Arial"/>
          <w:sz w:val="20"/>
          <w:szCs w:val="20"/>
        </w:rPr>
      </w:pPr>
    </w:p>
    <w:p w:rsidR="003972ED" w:rsidRPr="003972ED" w:rsidRDefault="003972ED" w:rsidP="003972ED">
      <w:pPr>
        <w:ind w:firstLine="284"/>
        <w:jc w:val="both"/>
        <w:rPr>
          <w:b/>
          <w:color w:val="000000" w:themeColor="text1"/>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Tr="00930A5D">
        <w:tc>
          <w:tcPr>
            <w:tcW w:w="8896" w:type="dxa"/>
          </w:tcPr>
          <w:p w:rsidR="003972ED" w:rsidRPr="00050E2D" w:rsidRDefault="00214A59" w:rsidP="00357912">
            <w:pPr>
              <w:pStyle w:val="Odstavecseseznamem"/>
              <w:ind w:left="0"/>
              <w:jc w:val="both"/>
              <w:rPr>
                <w:color w:val="365F91" w:themeColor="accent1" w:themeShade="BF"/>
                <w:sz w:val="20"/>
                <w:szCs w:val="20"/>
              </w:rPr>
            </w:pPr>
            <w:r w:rsidRPr="00214A59">
              <w:rPr>
                <w:color w:val="365F91" w:themeColor="accent1" w:themeShade="BF"/>
                <w:sz w:val="20"/>
                <w:szCs w:val="20"/>
              </w:rPr>
              <w:t xml:space="preserve">Jedná se o důsledek 2. revize Obecných pravidel, </w:t>
            </w:r>
            <w:r w:rsidR="00357912">
              <w:rPr>
                <w:color w:val="365F91" w:themeColor="accent1" w:themeShade="BF"/>
                <w:sz w:val="20"/>
                <w:szCs w:val="20"/>
              </w:rPr>
              <w:t>v</w:t>
            </w:r>
            <w:r w:rsidRPr="00214A59">
              <w:rPr>
                <w:color w:val="365F91" w:themeColor="accent1" w:themeShade="BF"/>
                <w:sz w:val="20"/>
                <w:szCs w:val="20"/>
              </w:rPr>
              <w:t> následující revizi Specifických pravidel 1. výzvy bude nesoulad odstraněn.</w:t>
            </w:r>
          </w:p>
        </w:tc>
      </w:tr>
    </w:tbl>
    <w:p w:rsidR="003972ED" w:rsidRDefault="003972ED" w:rsidP="003972ED">
      <w:pPr>
        <w:pStyle w:val="Odstavecseseznamem"/>
        <w:ind w:left="284"/>
        <w:jc w:val="both"/>
        <w:rPr>
          <w:rFonts w:asciiTheme="minorHAnsi" w:hAnsiTheme="minorHAnsi" w:cs="Arial CE"/>
          <w:sz w:val="20"/>
          <w:szCs w:val="20"/>
        </w:rPr>
      </w:pPr>
    </w:p>
    <w:p w:rsidR="006D443E" w:rsidRDefault="006D443E" w:rsidP="001F692A">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Rozdělení výdajů na hlavní výdaje min. do výše 85 % a vedlejší max. 15 % je nešťastné – protože do vedlejších výdajů patří část stavebních výdajů – jako např. projektové dokumentace a to i provedené během stavby, vyvolané investice – jako např. překládky veškerých inženýrských sítí /což někdy představuje i</w:t>
      </w:r>
      <w:r w:rsidR="001F692A" w:rsidRPr="001F692A">
        <w:rPr>
          <w:rFonts w:asciiTheme="minorHAnsi" w:hAnsiTheme="minorHAnsi" w:cs="Arial CE"/>
          <w:sz w:val="20"/>
          <w:szCs w:val="20"/>
        </w:rPr>
        <w:t> </w:t>
      </w:r>
      <w:r w:rsidRPr="001F692A">
        <w:rPr>
          <w:rFonts w:asciiTheme="minorHAnsi" w:hAnsiTheme="minorHAnsi" w:cs="Arial CE"/>
          <w:sz w:val="20"/>
          <w:szCs w:val="20"/>
        </w:rPr>
        <w:t>třetinu ceny stavby/, dále výdaje na technický dozor investora a koordinátora BOZP a výdaje většinou tuto 15 % hranici snadno překročí a mohou tak vznikat nezpůsobilé výdaje.</w:t>
      </w:r>
    </w:p>
    <w:p w:rsidR="00984020" w:rsidRPr="001F692A" w:rsidRDefault="00984020" w:rsidP="00984020">
      <w:pPr>
        <w:pStyle w:val="Odstavecseseznamem"/>
        <w:ind w:left="284"/>
        <w:jc w:val="both"/>
        <w:rPr>
          <w:rFonts w:asciiTheme="minorHAnsi" w:hAnsiTheme="minorHAnsi" w:cs="Arial CE"/>
          <w:sz w:val="20"/>
          <w:szCs w:val="20"/>
        </w:rPr>
      </w:pPr>
    </w:p>
    <w:p w:rsidR="003972ED" w:rsidRPr="003972ED" w:rsidRDefault="003972ED" w:rsidP="003972ED">
      <w:pPr>
        <w:ind w:firstLine="284"/>
        <w:jc w:val="both"/>
        <w:rPr>
          <w:b/>
          <w:color w:val="000000" w:themeColor="text1"/>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Tr="00930A5D">
        <w:tc>
          <w:tcPr>
            <w:tcW w:w="8896" w:type="dxa"/>
          </w:tcPr>
          <w:p w:rsidR="003972ED" w:rsidRPr="00050E2D" w:rsidRDefault="00214A59" w:rsidP="00357912">
            <w:pPr>
              <w:pStyle w:val="Odstavecseseznamem"/>
              <w:ind w:left="0"/>
              <w:jc w:val="both"/>
              <w:rPr>
                <w:color w:val="365F91" w:themeColor="accent1" w:themeShade="BF"/>
                <w:sz w:val="20"/>
                <w:szCs w:val="20"/>
              </w:rPr>
            </w:pPr>
            <w:r w:rsidRPr="00214A59">
              <w:rPr>
                <w:color w:val="365F91" w:themeColor="accent1" w:themeShade="BF"/>
                <w:sz w:val="20"/>
                <w:szCs w:val="20"/>
              </w:rPr>
              <w:t>Rozdělení způsobilých výdajů na hlavní a vedlejší v poměru min. 85</w:t>
            </w:r>
            <w:r w:rsidR="00357912">
              <w:rPr>
                <w:color w:val="365F91" w:themeColor="accent1" w:themeShade="BF"/>
                <w:sz w:val="20"/>
                <w:szCs w:val="20"/>
              </w:rPr>
              <w:t xml:space="preserve"> </w:t>
            </w:r>
            <w:r w:rsidRPr="00214A59">
              <w:rPr>
                <w:color w:val="365F91" w:themeColor="accent1" w:themeShade="BF"/>
                <w:sz w:val="20"/>
                <w:szCs w:val="20"/>
              </w:rPr>
              <w:t xml:space="preserve">% </w:t>
            </w:r>
            <w:r w:rsidR="00357912">
              <w:rPr>
                <w:color w:val="365F91" w:themeColor="accent1" w:themeShade="BF"/>
                <w:sz w:val="20"/>
                <w:szCs w:val="20"/>
              </w:rPr>
              <w:t>a</w:t>
            </w:r>
            <w:r w:rsidRPr="00214A59">
              <w:rPr>
                <w:color w:val="365F91" w:themeColor="accent1" w:themeShade="BF"/>
                <w:sz w:val="20"/>
                <w:szCs w:val="20"/>
              </w:rPr>
              <w:t xml:space="preserve"> max. 15 % vychází ze specifického kritéria přijatelnosti</w:t>
            </w:r>
            <w:r w:rsidR="00357912">
              <w:rPr>
                <w:color w:val="365F91" w:themeColor="accent1" w:themeShade="BF"/>
                <w:sz w:val="20"/>
                <w:szCs w:val="20"/>
              </w:rPr>
              <w:t>, které</w:t>
            </w:r>
            <w:r w:rsidRPr="00214A59">
              <w:rPr>
                <w:color w:val="365F91" w:themeColor="accent1" w:themeShade="BF"/>
                <w:sz w:val="20"/>
                <w:szCs w:val="20"/>
              </w:rPr>
              <w:t xml:space="preserve"> schvál</w:t>
            </w:r>
            <w:r w:rsidR="00357912">
              <w:rPr>
                <w:color w:val="365F91" w:themeColor="accent1" w:themeShade="BF"/>
                <w:sz w:val="20"/>
                <w:szCs w:val="20"/>
              </w:rPr>
              <w:t>il</w:t>
            </w:r>
            <w:r w:rsidRPr="00214A59">
              <w:rPr>
                <w:color w:val="365F91" w:themeColor="accent1" w:themeShade="BF"/>
                <w:sz w:val="20"/>
                <w:szCs w:val="20"/>
              </w:rPr>
              <w:t xml:space="preserve"> Monitorovací výbor IROP </w:t>
            </w:r>
            <w:r w:rsidR="00357912">
              <w:rPr>
                <w:color w:val="365F91" w:themeColor="accent1" w:themeShade="BF"/>
                <w:sz w:val="20"/>
                <w:szCs w:val="20"/>
              </w:rPr>
              <w:t>pro všechny</w:t>
            </w:r>
            <w:r w:rsidRPr="00214A59">
              <w:rPr>
                <w:color w:val="365F91" w:themeColor="accent1" w:themeShade="BF"/>
                <w:sz w:val="20"/>
                <w:szCs w:val="20"/>
              </w:rPr>
              <w:t xml:space="preserve"> specifick</w:t>
            </w:r>
            <w:r w:rsidR="00357912">
              <w:rPr>
                <w:color w:val="365F91" w:themeColor="accent1" w:themeShade="BF"/>
                <w:sz w:val="20"/>
                <w:szCs w:val="20"/>
              </w:rPr>
              <w:t>é</w:t>
            </w:r>
            <w:r w:rsidRPr="00214A59">
              <w:rPr>
                <w:color w:val="365F91" w:themeColor="accent1" w:themeShade="BF"/>
                <w:sz w:val="20"/>
                <w:szCs w:val="20"/>
              </w:rPr>
              <w:t xml:space="preserve"> cíl</w:t>
            </w:r>
            <w:r w:rsidR="00357912">
              <w:rPr>
                <w:color w:val="365F91" w:themeColor="accent1" w:themeShade="BF"/>
                <w:sz w:val="20"/>
                <w:szCs w:val="20"/>
              </w:rPr>
              <w:t>e</w:t>
            </w:r>
            <w:r w:rsidRPr="00214A59">
              <w:rPr>
                <w:color w:val="365F91" w:themeColor="accent1" w:themeShade="BF"/>
                <w:sz w:val="20"/>
                <w:szCs w:val="20"/>
              </w:rPr>
              <w:t xml:space="preserve"> IROP. </w:t>
            </w:r>
            <w:r w:rsidR="00357912">
              <w:rPr>
                <w:color w:val="365F91" w:themeColor="accent1" w:themeShade="BF"/>
                <w:sz w:val="20"/>
                <w:szCs w:val="20"/>
              </w:rPr>
              <w:t>H</w:t>
            </w:r>
            <w:r w:rsidRPr="00214A59">
              <w:rPr>
                <w:color w:val="365F91" w:themeColor="accent1" w:themeShade="BF"/>
                <w:sz w:val="20"/>
                <w:szCs w:val="20"/>
              </w:rPr>
              <w:t xml:space="preserve">lavní aktivity projektu představují hlavní výstup projektu </w:t>
            </w:r>
            <w:r w:rsidR="00357912">
              <w:rPr>
                <w:color w:val="365F91" w:themeColor="accent1" w:themeShade="BF"/>
                <w:sz w:val="20"/>
                <w:szCs w:val="20"/>
              </w:rPr>
              <w:t xml:space="preserve">a </w:t>
            </w:r>
            <w:r w:rsidRPr="00214A59">
              <w:rPr>
                <w:color w:val="365F91" w:themeColor="accent1" w:themeShade="BF"/>
                <w:sz w:val="20"/>
                <w:szCs w:val="20"/>
              </w:rPr>
              <w:t xml:space="preserve">promítají se do </w:t>
            </w:r>
            <w:r w:rsidR="00357912">
              <w:rPr>
                <w:color w:val="365F91" w:themeColor="accent1" w:themeShade="BF"/>
                <w:sz w:val="20"/>
                <w:szCs w:val="20"/>
              </w:rPr>
              <w:t xml:space="preserve">plnění </w:t>
            </w:r>
            <w:r w:rsidRPr="00214A59">
              <w:rPr>
                <w:color w:val="365F91" w:themeColor="accent1" w:themeShade="BF"/>
                <w:sz w:val="20"/>
                <w:szCs w:val="20"/>
              </w:rPr>
              <w:t>indikátoru. V SC 1.1 se jednoznačně jedná o stavební výdaje na rekonstrukci, modernizaci a výstavbu silnic.</w:t>
            </w:r>
          </w:p>
        </w:tc>
      </w:tr>
    </w:tbl>
    <w:p w:rsidR="003972ED" w:rsidRDefault="003972ED" w:rsidP="003972ED">
      <w:pPr>
        <w:pStyle w:val="Odstavecseseznamem"/>
        <w:ind w:left="284"/>
        <w:jc w:val="both"/>
        <w:rPr>
          <w:rFonts w:asciiTheme="minorHAnsi" w:hAnsiTheme="minorHAnsi" w:cs="Arial CE"/>
          <w:sz w:val="20"/>
          <w:szCs w:val="20"/>
        </w:rPr>
      </w:pPr>
    </w:p>
    <w:p w:rsidR="003972ED" w:rsidRDefault="006D443E" w:rsidP="003972ED">
      <w:pPr>
        <w:pStyle w:val="Odstavecseseznamem"/>
        <w:numPr>
          <w:ilvl w:val="0"/>
          <w:numId w:val="2"/>
        </w:numPr>
        <w:ind w:left="284" w:hanging="284"/>
        <w:jc w:val="both"/>
        <w:rPr>
          <w:rFonts w:asciiTheme="minorHAnsi" w:hAnsiTheme="minorHAnsi" w:cs="Arial CE"/>
          <w:sz w:val="20"/>
          <w:szCs w:val="20"/>
        </w:rPr>
      </w:pPr>
      <w:r w:rsidRPr="00C04948">
        <w:rPr>
          <w:rFonts w:asciiTheme="minorHAnsi" w:hAnsiTheme="minorHAnsi" w:cs="Arial CE"/>
          <w:sz w:val="20"/>
          <w:szCs w:val="20"/>
        </w:rPr>
        <w:t>Nutnost doložení čestného prohlášení ke všem zadávacím řízením, kde už jenom v textu prohlášení jsou některé sporné části a není vždy časově možné stihnout všechna tato prohlášení sehnat podepsaná např. od všech členů rady kraje před zahájením těchto zadávacích řízení.</w:t>
      </w:r>
    </w:p>
    <w:p w:rsidR="00984020" w:rsidRPr="00C04948" w:rsidRDefault="00984020" w:rsidP="00984020">
      <w:pPr>
        <w:pStyle w:val="Odstavecseseznamem"/>
        <w:ind w:left="284"/>
        <w:jc w:val="both"/>
        <w:rPr>
          <w:rFonts w:asciiTheme="minorHAnsi" w:hAnsiTheme="minorHAnsi" w:cs="Arial CE"/>
          <w:sz w:val="20"/>
          <w:szCs w:val="20"/>
        </w:rPr>
      </w:pPr>
    </w:p>
    <w:p w:rsidR="003972ED" w:rsidRPr="003972ED" w:rsidRDefault="003972ED" w:rsidP="003972ED">
      <w:pPr>
        <w:pStyle w:val="Odstavecseseznamem"/>
        <w:ind w:left="284"/>
        <w:jc w:val="both"/>
        <w:rPr>
          <w:rFonts w:asciiTheme="minorHAnsi" w:hAnsiTheme="minorHAnsi" w:cs="Arial CE"/>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RPr="00050E2D" w:rsidTr="00930A5D">
        <w:tc>
          <w:tcPr>
            <w:tcW w:w="8896" w:type="dxa"/>
          </w:tcPr>
          <w:p w:rsidR="003972ED" w:rsidRPr="00050E2D" w:rsidRDefault="006B2469" w:rsidP="002717CA">
            <w:pPr>
              <w:pStyle w:val="Odstavecseseznamem"/>
              <w:ind w:left="0"/>
              <w:jc w:val="both"/>
              <w:rPr>
                <w:color w:val="365F91" w:themeColor="accent1" w:themeShade="BF"/>
                <w:sz w:val="20"/>
                <w:szCs w:val="20"/>
              </w:rPr>
            </w:pPr>
            <w:r w:rsidRPr="006B2469">
              <w:rPr>
                <w:color w:val="365F91" w:themeColor="accent1" w:themeShade="BF"/>
                <w:sz w:val="20"/>
                <w:szCs w:val="20"/>
              </w:rPr>
              <w:t xml:space="preserve">ŘO IROP z textu dotazu dovozuje, že je myšlen seznam osob a podepsaná čestná prohlášení o neexistenci střetu zájmů </w:t>
            </w:r>
            <w:r w:rsidR="002717CA">
              <w:rPr>
                <w:color w:val="365F91" w:themeColor="accent1" w:themeShade="BF"/>
                <w:sz w:val="20"/>
                <w:szCs w:val="20"/>
              </w:rPr>
              <w:t>po</w:t>
            </w:r>
            <w:r>
              <w:rPr>
                <w:color w:val="365F91" w:themeColor="accent1" w:themeShade="BF"/>
                <w:sz w:val="20"/>
                <w:szCs w:val="20"/>
              </w:rPr>
              <w:t xml:space="preserve">dle bodu 3 kapitoly 5.1 Obecných pravidel. </w:t>
            </w:r>
            <w:r w:rsidR="002717CA">
              <w:rPr>
                <w:color w:val="365F91" w:themeColor="accent1" w:themeShade="BF"/>
                <w:sz w:val="20"/>
                <w:szCs w:val="20"/>
              </w:rPr>
              <w:t>J</w:t>
            </w:r>
            <w:r w:rsidR="00B504E4">
              <w:rPr>
                <w:color w:val="365F91" w:themeColor="accent1" w:themeShade="BF"/>
                <w:sz w:val="20"/>
                <w:szCs w:val="20"/>
              </w:rPr>
              <w:t xml:space="preserve">edná </w:t>
            </w:r>
            <w:r w:rsidR="002717CA">
              <w:rPr>
                <w:color w:val="365F91" w:themeColor="accent1" w:themeShade="BF"/>
                <w:sz w:val="20"/>
                <w:szCs w:val="20"/>
              </w:rPr>
              <w:t xml:space="preserve">se </w:t>
            </w:r>
            <w:r w:rsidR="00B504E4">
              <w:rPr>
                <w:color w:val="365F91" w:themeColor="accent1" w:themeShade="BF"/>
                <w:sz w:val="20"/>
                <w:szCs w:val="20"/>
              </w:rPr>
              <w:t xml:space="preserve">o opatření ke snížení rizika výskytu střetu zájmů v projektech IROP. </w:t>
            </w:r>
            <w:r w:rsidR="00B504E4" w:rsidRPr="00B504E4">
              <w:rPr>
                <w:color w:val="365F91" w:themeColor="accent1" w:themeShade="BF"/>
                <w:sz w:val="20"/>
                <w:szCs w:val="20"/>
              </w:rPr>
              <w:t>Neidentifikované nebo podceněné střety zájmů mohou vést k</w:t>
            </w:r>
            <w:r w:rsidR="002717CA">
              <w:rPr>
                <w:color w:val="365F91" w:themeColor="accent1" w:themeShade="BF"/>
                <w:sz w:val="20"/>
                <w:szCs w:val="20"/>
              </w:rPr>
              <w:t xml:space="preserve">e snížení dotace </w:t>
            </w:r>
            <w:r w:rsidR="00B504E4" w:rsidRPr="00B504E4">
              <w:rPr>
                <w:color w:val="365F91" w:themeColor="accent1" w:themeShade="BF"/>
                <w:sz w:val="20"/>
                <w:szCs w:val="20"/>
              </w:rPr>
              <w:t>až</w:t>
            </w:r>
            <w:r w:rsidR="002717CA">
              <w:rPr>
                <w:color w:val="365F91" w:themeColor="accent1" w:themeShade="BF"/>
                <w:sz w:val="20"/>
                <w:szCs w:val="20"/>
              </w:rPr>
              <w:t xml:space="preserve"> o</w:t>
            </w:r>
            <w:r w:rsidR="00B504E4" w:rsidRPr="00B504E4">
              <w:rPr>
                <w:color w:val="365F91" w:themeColor="accent1" w:themeShade="BF"/>
                <w:sz w:val="20"/>
                <w:szCs w:val="20"/>
              </w:rPr>
              <w:t xml:space="preserve"> 100 % z poskytnuté </w:t>
            </w:r>
            <w:r w:rsidR="00B504E4">
              <w:rPr>
                <w:color w:val="365F91" w:themeColor="accent1" w:themeShade="BF"/>
                <w:sz w:val="20"/>
                <w:szCs w:val="20"/>
              </w:rPr>
              <w:t>podpory</w:t>
            </w:r>
            <w:r w:rsidR="00B504E4" w:rsidRPr="00B504E4">
              <w:rPr>
                <w:color w:val="365F91" w:themeColor="accent1" w:themeShade="BF"/>
                <w:sz w:val="20"/>
                <w:szCs w:val="20"/>
              </w:rPr>
              <w:t>.</w:t>
            </w:r>
            <w:r w:rsidR="00B504E4">
              <w:rPr>
                <w:color w:val="365F91" w:themeColor="accent1" w:themeShade="BF"/>
                <w:sz w:val="20"/>
                <w:szCs w:val="20"/>
              </w:rPr>
              <w:t xml:space="preserve"> </w:t>
            </w:r>
            <w:r w:rsidR="002717CA">
              <w:rPr>
                <w:color w:val="365F91" w:themeColor="accent1" w:themeShade="BF"/>
                <w:sz w:val="20"/>
                <w:szCs w:val="20"/>
              </w:rPr>
              <w:t>P</w:t>
            </w:r>
            <w:r w:rsidR="00B504E4" w:rsidRPr="00B504E4">
              <w:rPr>
                <w:color w:val="365F91" w:themeColor="accent1" w:themeShade="BF"/>
                <w:sz w:val="20"/>
                <w:szCs w:val="20"/>
              </w:rPr>
              <w:t xml:space="preserve">okud </w:t>
            </w:r>
            <w:r w:rsidR="003B6CAB">
              <w:rPr>
                <w:color w:val="365F91" w:themeColor="accent1" w:themeShade="BF"/>
                <w:sz w:val="20"/>
                <w:szCs w:val="20"/>
              </w:rPr>
              <w:t xml:space="preserve">některá z osob, uvedených v seznamu, </w:t>
            </w:r>
            <w:r w:rsidR="00B504E4" w:rsidRPr="00B504E4">
              <w:rPr>
                <w:color w:val="365F91" w:themeColor="accent1" w:themeShade="BF"/>
                <w:sz w:val="20"/>
                <w:szCs w:val="20"/>
              </w:rPr>
              <w:t>nemůže podepsat čestné prohlášení o neexistenci střetu zájmů, zadavatel je povinen zdůvodnit tuto skutečnost, aby bylo zřejmé, že případný střet zájmů nebo jiný důvod neohrožuj</w:t>
            </w:r>
            <w:r w:rsidR="002717CA">
              <w:rPr>
                <w:color w:val="365F91" w:themeColor="accent1" w:themeShade="BF"/>
                <w:sz w:val="20"/>
                <w:szCs w:val="20"/>
              </w:rPr>
              <w:t>í</w:t>
            </w:r>
            <w:r w:rsidR="00B504E4" w:rsidRPr="00B504E4">
              <w:rPr>
                <w:color w:val="365F91" w:themeColor="accent1" w:themeShade="BF"/>
                <w:sz w:val="20"/>
                <w:szCs w:val="20"/>
              </w:rPr>
              <w:t xml:space="preserve"> průběh nebo realizaci zakázky</w:t>
            </w:r>
            <w:r w:rsidR="00B504E4">
              <w:rPr>
                <w:color w:val="365F91" w:themeColor="accent1" w:themeShade="BF"/>
                <w:sz w:val="20"/>
                <w:szCs w:val="20"/>
              </w:rPr>
              <w:t>.</w:t>
            </w:r>
          </w:p>
        </w:tc>
      </w:tr>
    </w:tbl>
    <w:p w:rsidR="002717CA" w:rsidRPr="00050E2D" w:rsidRDefault="002717CA" w:rsidP="00050E2D">
      <w:pPr>
        <w:pStyle w:val="Odstavecseseznamem"/>
        <w:ind w:left="0"/>
        <w:jc w:val="both"/>
        <w:rPr>
          <w:color w:val="365F91" w:themeColor="accent1" w:themeShade="BF"/>
          <w:sz w:val="20"/>
          <w:szCs w:val="20"/>
        </w:rPr>
      </w:pPr>
    </w:p>
    <w:p w:rsidR="003A728E" w:rsidRDefault="003A728E" w:rsidP="001F692A">
      <w:pPr>
        <w:pStyle w:val="Odstavecseseznamem"/>
        <w:numPr>
          <w:ilvl w:val="0"/>
          <w:numId w:val="2"/>
        </w:numPr>
        <w:ind w:left="284" w:hanging="284"/>
        <w:jc w:val="both"/>
        <w:rPr>
          <w:rFonts w:asciiTheme="minorHAnsi" w:hAnsiTheme="minorHAnsi"/>
          <w:color w:val="000000" w:themeColor="text1"/>
          <w:sz w:val="20"/>
          <w:szCs w:val="20"/>
        </w:rPr>
      </w:pPr>
      <w:r w:rsidRPr="001F692A">
        <w:rPr>
          <w:rFonts w:asciiTheme="minorHAnsi" w:hAnsiTheme="minorHAnsi"/>
          <w:sz w:val="20"/>
          <w:szCs w:val="20"/>
        </w:rPr>
        <w:t xml:space="preserve">Přijatelnost - soulad s dopravní politikou - nadbytečné kritérium, je splněno automaticky, když se komunikace nachází na </w:t>
      </w:r>
      <w:r w:rsidRPr="001F692A">
        <w:rPr>
          <w:rFonts w:asciiTheme="minorHAnsi" w:hAnsiTheme="minorHAnsi"/>
          <w:color w:val="000000" w:themeColor="text1"/>
          <w:sz w:val="20"/>
          <w:szCs w:val="20"/>
        </w:rPr>
        <w:t>vymezen</w:t>
      </w:r>
      <w:r w:rsidR="00B078EC" w:rsidRPr="001F692A">
        <w:rPr>
          <w:rFonts w:asciiTheme="minorHAnsi" w:hAnsiTheme="minorHAnsi"/>
          <w:color w:val="000000" w:themeColor="text1"/>
          <w:sz w:val="20"/>
          <w:szCs w:val="20"/>
        </w:rPr>
        <w:t>é prioritní silniční síti IROP.</w:t>
      </w:r>
    </w:p>
    <w:p w:rsidR="00984020" w:rsidRDefault="00984020" w:rsidP="00984020">
      <w:pPr>
        <w:pStyle w:val="Odstavecseseznamem"/>
        <w:ind w:left="284"/>
        <w:jc w:val="both"/>
        <w:rPr>
          <w:rFonts w:asciiTheme="minorHAnsi" w:hAnsiTheme="minorHAnsi"/>
          <w:color w:val="000000" w:themeColor="text1"/>
          <w:sz w:val="20"/>
          <w:szCs w:val="20"/>
        </w:rPr>
      </w:pPr>
    </w:p>
    <w:p w:rsidR="00CA7105" w:rsidRPr="00CA7105" w:rsidRDefault="00CA7105" w:rsidP="00CA7105">
      <w:pPr>
        <w:ind w:firstLine="284"/>
        <w:jc w:val="both"/>
        <w:rPr>
          <w:rFonts w:asciiTheme="minorHAnsi" w:hAnsiTheme="minorHAnsi"/>
          <w:color w:val="000000" w:themeColor="text1"/>
          <w:sz w:val="20"/>
          <w:szCs w:val="20"/>
        </w:rPr>
      </w:pPr>
      <w:r w:rsidRPr="00CA7105">
        <w:rPr>
          <w:b/>
          <w:color w:val="000000" w:themeColor="text1"/>
          <w:sz w:val="20"/>
          <w:szCs w:val="20"/>
        </w:rPr>
        <w:t>Reakce ŘO IROP</w:t>
      </w:r>
    </w:p>
    <w:tbl>
      <w:tblPr>
        <w:tblStyle w:val="Mkatabulky"/>
        <w:tblW w:w="0" w:type="auto"/>
        <w:tblInd w:w="392" w:type="dxa"/>
        <w:tblLook w:val="04A0"/>
      </w:tblPr>
      <w:tblGrid>
        <w:gridCol w:w="8896"/>
      </w:tblGrid>
      <w:tr w:rsidR="00CA7105" w:rsidTr="00930A5D">
        <w:tc>
          <w:tcPr>
            <w:tcW w:w="8896" w:type="dxa"/>
          </w:tcPr>
          <w:p w:rsidR="00CA7105" w:rsidRDefault="00214A59" w:rsidP="002717CA">
            <w:pPr>
              <w:pStyle w:val="Odstavecseseznamem"/>
              <w:ind w:left="0"/>
              <w:jc w:val="both"/>
              <w:rPr>
                <w:color w:val="000000" w:themeColor="text1"/>
                <w:sz w:val="20"/>
                <w:szCs w:val="20"/>
              </w:rPr>
            </w:pPr>
            <w:r w:rsidRPr="00214A59">
              <w:rPr>
                <w:color w:val="365F91" w:themeColor="accent1" w:themeShade="BF"/>
                <w:sz w:val="20"/>
                <w:szCs w:val="20"/>
              </w:rPr>
              <w:t>Jedná se o nezbytné kritérium</w:t>
            </w:r>
            <w:r w:rsidR="002717CA">
              <w:rPr>
                <w:color w:val="365F91" w:themeColor="accent1" w:themeShade="BF"/>
                <w:sz w:val="20"/>
                <w:szCs w:val="20"/>
              </w:rPr>
              <w:t>, uvedené v</w:t>
            </w:r>
            <w:r w:rsidRPr="00214A59">
              <w:rPr>
                <w:color w:val="365F91" w:themeColor="accent1" w:themeShade="BF"/>
                <w:sz w:val="20"/>
                <w:szCs w:val="20"/>
              </w:rPr>
              <w:t xml:space="preserve"> Programové</w:t>
            </w:r>
            <w:r w:rsidR="002717CA">
              <w:rPr>
                <w:color w:val="365F91" w:themeColor="accent1" w:themeShade="BF"/>
                <w:sz w:val="20"/>
                <w:szCs w:val="20"/>
              </w:rPr>
              <w:t>m</w:t>
            </w:r>
            <w:r w:rsidRPr="00214A59">
              <w:rPr>
                <w:color w:val="365F91" w:themeColor="accent1" w:themeShade="BF"/>
                <w:sz w:val="20"/>
                <w:szCs w:val="20"/>
              </w:rPr>
              <w:t xml:space="preserve"> dokumentu IROP</w:t>
            </w:r>
            <w:r w:rsidR="002717CA">
              <w:rPr>
                <w:color w:val="365F91" w:themeColor="accent1" w:themeShade="BF"/>
                <w:sz w:val="20"/>
                <w:szCs w:val="20"/>
              </w:rPr>
              <w:t>.</w:t>
            </w:r>
            <w:r w:rsidRPr="00214A59">
              <w:rPr>
                <w:color w:val="365F91" w:themeColor="accent1" w:themeShade="BF"/>
                <w:sz w:val="20"/>
                <w:szCs w:val="20"/>
              </w:rPr>
              <w:t xml:space="preserve"> </w:t>
            </w:r>
            <w:r w:rsidR="002717CA">
              <w:rPr>
                <w:color w:val="365F91" w:themeColor="accent1" w:themeShade="BF"/>
                <w:sz w:val="20"/>
                <w:szCs w:val="20"/>
              </w:rPr>
              <w:t>V</w:t>
            </w:r>
            <w:r w:rsidRPr="00214A59">
              <w:rPr>
                <w:color w:val="365F91" w:themeColor="accent1" w:themeShade="BF"/>
                <w:sz w:val="20"/>
                <w:szCs w:val="20"/>
              </w:rPr>
              <w:t xml:space="preserve">ychází </w:t>
            </w:r>
            <w:r w:rsidR="002717CA">
              <w:rPr>
                <w:color w:val="365F91" w:themeColor="accent1" w:themeShade="BF"/>
                <w:sz w:val="20"/>
                <w:szCs w:val="20"/>
              </w:rPr>
              <w:t>z</w:t>
            </w:r>
            <w:r w:rsidRPr="00214A59">
              <w:rPr>
                <w:color w:val="365F91" w:themeColor="accent1" w:themeShade="BF"/>
                <w:sz w:val="20"/>
                <w:szCs w:val="20"/>
              </w:rPr>
              <w:t xml:space="preserve"> požadavku Evropské komise na návaznost </w:t>
            </w:r>
            <w:r w:rsidR="002717CA">
              <w:rPr>
                <w:color w:val="365F91" w:themeColor="accent1" w:themeShade="BF"/>
                <w:sz w:val="20"/>
                <w:szCs w:val="20"/>
              </w:rPr>
              <w:t>podpory</w:t>
            </w:r>
            <w:r w:rsidRPr="00214A59">
              <w:rPr>
                <w:color w:val="365F91" w:themeColor="accent1" w:themeShade="BF"/>
                <w:sz w:val="20"/>
                <w:szCs w:val="20"/>
              </w:rPr>
              <w:t xml:space="preserve"> na národní strategie/politiky.</w:t>
            </w:r>
          </w:p>
        </w:tc>
      </w:tr>
    </w:tbl>
    <w:p w:rsidR="002717CA" w:rsidRPr="005D3425" w:rsidRDefault="002717CA" w:rsidP="005D3425">
      <w:pPr>
        <w:ind w:left="426"/>
        <w:jc w:val="both"/>
        <w:rPr>
          <w:rFonts w:asciiTheme="minorHAnsi" w:hAnsiTheme="minorHAnsi"/>
          <w:color w:val="000000" w:themeColor="text1"/>
          <w:sz w:val="20"/>
          <w:szCs w:val="20"/>
        </w:rPr>
      </w:pPr>
    </w:p>
    <w:p w:rsidR="003972ED" w:rsidRDefault="003A728E" w:rsidP="003972ED">
      <w:pPr>
        <w:pStyle w:val="Odstavecseseznamem"/>
        <w:numPr>
          <w:ilvl w:val="0"/>
          <w:numId w:val="2"/>
        </w:numPr>
        <w:ind w:left="284" w:hanging="284"/>
        <w:jc w:val="both"/>
        <w:rPr>
          <w:rFonts w:asciiTheme="minorHAnsi" w:hAnsiTheme="minorHAnsi"/>
          <w:color w:val="000000" w:themeColor="text1"/>
          <w:sz w:val="20"/>
          <w:szCs w:val="20"/>
        </w:rPr>
      </w:pPr>
      <w:r w:rsidRPr="001F692A">
        <w:rPr>
          <w:rFonts w:asciiTheme="minorHAnsi" w:hAnsiTheme="minorHAnsi"/>
          <w:color w:val="000000" w:themeColor="text1"/>
          <w:sz w:val="20"/>
          <w:szCs w:val="20"/>
        </w:rPr>
        <w:t>Přijatelnost - zařazena kritéria, která odpovídají charakterem a závažností spíše formálním náležitostem (poměry hlavní/vedlejší výdaje min85/max15,</w:t>
      </w:r>
      <w:r w:rsidR="001A6FF2" w:rsidRPr="001F692A">
        <w:rPr>
          <w:rFonts w:asciiTheme="minorHAnsi" w:hAnsiTheme="minorHAnsi"/>
          <w:color w:val="000000" w:themeColor="text1"/>
          <w:sz w:val="20"/>
          <w:szCs w:val="20"/>
        </w:rPr>
        <w:t xml:space="preserve"> náležitosti a formát rozpočtu)</w:t>
      </w:r>
    </w:p>
    <w:p w:rsidR="00984020" w:rsidRDefault="00984020" w:rsidP="00984020">
      <w:pPr>
        <w:pStyle w:val="Odstavecseseznamem"/>
        <w:ind w:left="284"/>
        <w:jc w:val="both"/>
        <w:rPr>
          <w:rFonts w:asciiTheme="minorHAnsi" w:hAnsiTheme="minorHAnsi"/>
          <w:color w:val="000000" w:themeColor="text1"/>
          <w:sz w:val="20"/>
          <w:szCs w:val="20"/>
        </w:rPr>
      </w:pPr>
    </w:p>
    <w:p w:rsidR="003972ED" w:rsidRPr="003972ED" w:rsidRDefault="003972ED" w:rsidP="003972ED">
      <w:pPr>
        <w:pStyle w:val="Odstavecseseznamem"/>
        <w:ind w:left="284"/>
        <w:jc w:val="both"/>
        <w:rPr>
          <w:rFonts w:asciiTheme="minorHAnsi" w:hAnsiTheme="minorHAnsi"/>
          <w:color w:val="000000" w:themeColor="text1"/>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RPr="00050E2D" w:rsidTr="00930A5D">
        <w:tc>
          <w:tcPr>
            <w:tcW w:w="8896" w:type="dxa"/>
          </w:tcPr>
          <w:p w:rsidR="003972ED" w:rsidRPr="00050E2D" w:rsidRDefault="00214A59" w:rsidP="00A24C3B">
            <w:pPr>
              <w:pStyle w:val="Odstavecseseznamem"/>
              <w:ind w:left="0"/>
              <w:jc w:val="both"/>
              <w:rPr>
                <w:color w:val="365F91" w:themeColor="accent1" w:themeShade="BF"/>
                <w:sz w:val="20"/>
                <w:szCs w:val="20"/>
              </w:rPr>
            </w:pPr>
            <w:r w:rsidRPr="00214A59">
              <w:rPr>
                <w:color w:val="365F91" w:themeColor="accent1" w:themeShade="BF"/>
                <w:sz w:val="20"/>
                <w:szCs w:val="20"/>
              </w:rPr>
              <w:t>Ve specifických kritériích přijatelnosti jsou zařazena mimo jiné kritéria „Minimálně 85 % způsobilých výdajů projektu je zaměřeno na hlavní aktivity projektu“ a „Výdaje na hlavní aktivity v rozpočtu projektu odpovídají tržním cenám“</w:t>
            </w:r>
            <w:r w:rsidR="00A24C3B">
              <w:rPr>
                <w:color w:val="365F91" w:themeColor="accent1" w:themeShade="BF"/>
                <w:sz w:val="20"/>
                <w:szCs w:val="20"/>
              </w:rPr>
              <w:t xml:space="preserve">, podle názoru ŘO IROP </w:t>
            </w:r>
            <w:r w:rsidRPr="00214A59">
              <w:rPr>
                <w:color w:val="365F91" w:themeColor="accent1" w:themeShade="BF"/>
                <w:sz w:val="20"/>
                <w:szCs w:val="20"/>
              </w:rPr>
              <w:t>nepatří mezi kritéria formálních náležitostí.</w:t>
            </w:r>
          </w:p>
        </w:tc>
      </w:tr>
    </w:tbl>
    <w:p w:rsidR="003972ED" w:rsidRPr="00050E2D" w:rsidRDefault="003972ED" w:rsidP="00050E2D">
      <w:pPr>
        <w:pStyle w:val="Odstavecseseznamem"/>
        <w:ind w:left="0"/>
        <w:jc w:val="both"/>
        <w:rPr>
          <w:color w:val="365F91" w:themeColor="accent1" w:themeShade="BF"/>
          <w:sz w:val="20"/>
          <w:szCs w:val="20"/>
        </w:rPr>
      </w:pPr>
    </w:p>
    <w:p w:rsidR="003972ED" w:rsidRDefault="006F7468" w:rsidP="003972ED">
      <w:pPr>
        <w:pStyle w:val="Odstavecseseznamem"/>
        <w:numPr>
          <w:ilvl w:val="0"/>
          <w:numId w:val="2"/>
        </w:numPr>
        <w:ind w:left="284" w:hanging="284"/>
        <w:jc w:val="both"/>
        <w:rPr>
          <w:rFonts w:asciiTheme="minorHAnsi" w:hAnsiTheme="minorHAnsi"/>
          <w:color w:val="000000" w:themeColor="text1"/>
          <w:sz w:val="20"/>
          <w:szCs w:val="20"/>
        </w:rPr>
      </w:pPr>
      <w:r w:rsidRPr="001F692A">
        <w:rPr>
          <w:rFonts w:asciiTheme="minorHAnsi" w:hAnsiTheme="minorHAnsi"/>
          <w:color w:val="000000" w:themeColor="text1"/>
          <w:sz w:val="20"/>
          <w:szCs w:val="20"/>
        </w:rPr>
        <w:t>Nedostatečná specifikace některých kapitol Studie proveditelnosti (např.</w:t>
      </w:r>
      <w:r w:rsidR="000D6C3F" w:rsidRPr="001F692A">
        <w:rPr>
          <w:rFonts w:asciiTheme="minorHAnsi" w:hAnsiTheme="minorHAnsi"/>
          <w:color w:val="000000" w:themeColor="text1"/>
          <w:sz w:val="20"/>
          <w:szCs w:val="20"/>
        </w:rPr>
        <w:t xml:space="preserve"> </w:t>
      </w:r>
      <w:r w:rsidRPr="001F692A">
        <w:rPr>
          <w:rFonts w:asciiTheme="minorHAnsi" w:hAnsiTheme="minorHAnsi"/>
          <w:color w:val="000000" w:themeColor="text1"/>
          <w:sz w:val="20"/>
          <w:szCs w:val="20"/>
        </w:rPr>
        <w:t>Dlouhodobý investiční majetek vstupující do projektu, organizační model připravenosti projektu).</w:t>
      </w:r>
    </w:p>
    <w:p w:rsidR="00984020" w:rsidRDefault="00984020" w:rsidP="00984020">
      <w:pPr>
        <w:pStyle w:val="Odstavecseseznamem"/>
        <w:ind w:left="284"/>
        <w:jc w:val="both"/>
        <w:rPr>
          <w:rFonts w:asciiTheme="minorHAnsi" w:hAnsiTheme="minorHAnsi"/>
          <w:color w:val="000000" w:themeColor="text1"/>
          <w:sz w:val="20"/>
          <w:szCs w:val="20"/>
        </w:rPr>
      </w:pPr>
    </w:p>
    <w:p w:rsidR="003972ED" w:rsidRPr="003972ED" w:rsidRDefault="003972ED" w:rsidP="003972ED">
      <w:pPr>
        <w:pStyle w:val="Odstavecseseznamem"/>
        <w:ind w:left="284"/>
        <w:jc w:val="both"/>
        <w:rPr>
          <w:rFonts w:asciiTheme="minorHAnsi" w:hAnsiTheme="minorHAnsi"/>
          <w:color w:val="000000" w:themeColor="text1"/>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Tr="00930A5D">
        <w:tc>
          <w:tcPr>
            <w:tcW w:w="8896" w:type="dxa"/>
          </w:tcPr>
          <w:p w:rsidR="003972ED" w:rsidRDefault="00214A59" w:rsidP="00A24C3B">
            <w:pPr>
              <w:pStyle w:val="Odstavecseseznamem"/>
              <w:ind w:left="0"/>
              <w:jc w:val="both"/>
              <w:rPr>
                <w:color w:val="000000" w:themeColor="text1"/>
                <w:sz w:val="20"/>
                <w:szCs w:val="20"/>
              </w:rPr>
            </w:pPr>
            <w:r w:rsidRPr="00214A59">
              <w:rPr>
                <w:color w:val="365F91" w:themeColor="accent1" w:themeShade="BF"/>
                <w:sz w:val="20"/>
                <w:szCs w:val="20"/>
              </w:rPr>
              <w:t>V připravované reviz</w:t>
            </w:r>
            <w:r w:rsidR="00A24C3B">
              <w:rPr>
                <w:color w:val="365F91" w:themeColor="accent1" w:themeShade="BF"/>
                <w:sz w:val="20"/>
                <w:szCs w:val="20"/>
              </w:rPr>
              <w:t>i</w:t>
            </w:r>
            <w:r w:rsidRPr="00214A59">
              <w:rPr>
                <w:color w:val="365F91" w:themeColor="accent1" w:themeShade="BF"/>
                <w:sz w:val="20"/>
                <w:szCs w:val="20"/>
              </w:rPr>
              <w:t xml:space="preserve"> Specifických pravidel 1. výzvy </w:t>
            </w:r>
            <w:r w:rsidR="00A24C3B">
              <w:rPr>
                <w:color w:val="365F91" w:themeColor="accent1" w:themeShade="BF"/>
                <w:sz w:val="20"/>
                <w:szCs w:val="20"/>
              </w:rPr>
              <w:t>ŘO IROP</w:t>
            </w:r>
            <w:r w:rsidRPr="00214A59">
              <w:rPr>
                <w:color w:val="365F91" w:themeColor="accent1" w:themeShade="BF"/>
                <w:sz w:val="20"/>
                <w:szCs w:val="20"/>
              </w:rPr>
              <w:t xml:space="preserve"> v některých bodech Studi</w:t>
            </w:r>
            <w:r w:rsidR="00A24C3B">
              <w:rPr>
                <w:color w:val="365F91" w:themeColor="accent1" w:themeShade="BF"/>
                <w:sz w:val="20"/>
                <w:szCs w:val="20"/>
              </w:rPr>
              <w:t>i</w:t>
            </w:r>
            <w:r w:rsidRPr="00214A59">
              <w:rPr>
                <w:color w:val="365F91" w:themeColor="accent1" w:themeShade="BF"/>
                <w:sz w:val="20"/>
                <w:szCs w:val="20"/>
              </w:rPr>
              <w:t xml:space="preserve"> proveditelnosti upřesní.</w:t>
            </w:r>
            <w:r w:rsidR="00C04948">
              <w:rPr>
                <w:color w:val="365F91" w:themeColor="accent1" w:themeShade="BF"/>
                <w:sz w:val="20"/>
                <w:szCs w:val="20"/>
              </w:rPr>
              <w:t xml:space="preserve"> Děkujeme za upozornění.</w:t>
            </w:r>
          </w:p>
        </w:tc>
      </w:tr>
    </w:tbl>
    <w:p w:rsidR="003972ED" w:rsidRDefault="003972ED" w:rsidP="003972ED">
      <w:pPr>
        <w:pStyle w:val="Odstavecseseznamem"/>
        <w:ind w:left="284"/>
        <w:jc w:val="both"/>
        <w:rPr>
          <w:rFonts w:asciiTheme="minorHAnsi" w:hAnsiTheme="minorHAnsi"/>
          <w:color w:val="000000" w:themeColor="text1"/>
          <w:sz w:val="20"/>
          <w:szCs w:val="20"/>
        </w:rPr>
      </w:pPr>
    </w:p>
    <w:p w:rsidR="003972ED" w:rsidRDefault="006F7468" w:rsidP="003972ED">
      <w:pPr>
        <w:pStyle w:val="Odstavecseseznamem"/>
        <w:numPr>
          <w:ilvl w:val="0"/>
          <w:numId w:val="2"/>
        </w:numPr>
        <w:ind w:left="284" w:hanging="284"/>
        <w:jc w:val="both"/>
        <w:rPr>
          <w:rFonts w:asciiTheme="minorHAnsi" w:hAnsiTheme="minorHAnsi"/>
          <w:color w:val="000000" w:themeColor="text1"/>
          <w:sz w:val="20"/>
          <w:szCs w:val="20"/>
        </w:rPr>
      </w:pPr>
      <w:r w:rsidRPr="001F692A">
        <w:rPr>
          <w:rFonts w:asciiTheme="minorHAnsi" w:hAnsiTheme="minorHAnsi"/>
          <w:color w:val="000000" w:themeColor="text1"/>
          <w:sz w:val="20"/>
          <w:szCs w:val="20"/>
        </w:rPr>
        <w:t xml:space="preserve">Rozdělení hlavních (85 %) a vedlejších (15 %) výdajů projektu jakožto kritérium přijatelnosti projektu – při špatném nastavení ze strany žadatele může dojít k vyřazení projektu z hodnocení. Rozdělení stavebního </w:t>
      </w:r>
      <w:r w:rsidRPr="001F692A">
        <w:rPr>
          <w:rFonts w:asciiTheme="minorHAnsi" w:hAnsiTheme="minorHAnsi"/>
          <w:color w:val="000000" w:themeColor="text1"/>
          <w:sz w:val="20"/>
          <w:szCs w:val="20"/>
        </w:rPr>
        <w:lastRenderedPageBreak/>
        <w:t>rozpočtu do kategorií hlavní a vedlejší výdaje je poměrně složité, snadno může dojít k chybě z důvodu přehlédnutí či špatného vyhodnocení položky. Žadatel by měl mít možnost opravy.</w:t>
      </w:r>
    </w:p>
    <w:p w:rsidR="003972ED" w:rsidRPr="003972ED" w:rsidRDefault="003972ED" w:rsidP="003972ED">
      <w:pPr>
        <w:pStyle w:val="Odstavecseseznamem"/>
        <w:ind w:left="284"/>
        <w:jc w:val="both"/>
        <w:rPr>
          <w:rFonts w:asciiTheme="minorHAnsi" w:hAnsiTheme="minorHAnsi"/>
          <w:color w:val="000000" w:themeColor="text1"/>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Tr="00930A5D">
        <w:tc>
          <w:tcPr>
            <w:tcW w:w="8896" w:type="dxa"/>
          </w:tcPr>
          <w:p w:rsidR="003972ED" w:rsidRPr="005D3425" w:rsidRDefault="00C04948" w:rsidP="00050E2D">
            <w:pPr>
              <w:pStyle w:val="Odstavecseseznamem"/>
              <w:ind w:left="0"/>
              <w:jc w:val="both"/>
              <w:rPr>
                <w:color w:val="365F91" w:themeColor="accent1" w:themeShade="BF"/>
                <w:sz w:val="20"/>
                <w:szCs w:val="20"/>
              </w:rPr>
            </w:pPr>
            <w:r w:rsidRPr="005D3425">
              <w:rPr>
                <w:color w:val="365F91" w:themeColor="accent1" w:themeShade="BF"/>
                <w:sz w:val="20"/>
                <w:szCs w:val="20"/>
              </w:rPr>
              <w:t>Doporučujeme konzultovat projekty</w:t>
            </w:r>
            <w:r w:rsidR="00214A59" w:rsidRPr="005D3425">
              <w:rPr>
                <w:color w:val="365F91" w:themeColor="accent1" w:themeShade="BF"/>
                <w:sz w:val="20"/>
                <w:szCs w:val="20"/>
              </w:rPr>
              <w:t xml:space="preserve"> před podáním ž</w:t>
            </w:r>
            <w:r w:rsidRPr="005D3425">
              <w:rPr>
                <w:color w:val="365F91" w:themeColor="accent1" w:themeShade="BF"/>
                <w:sz w:val="20"/>
                <w:szCs w:val="20"/>
              </w:rPr>
              <w:t>ádosti na krajském oddělení CRR.</w:t>
            </w:r>
          </w:p>
        </w:tc>
      </w:tr>
    </w:tbl>
    <w:p w:rsidR="003972ED" w:rsidRPr="003972ED" w:rsidRDefault="003972ED" w:rsidP="003972ED">
      <w:pPr>
        <w:pStyle w:val="Odstavecseseznamem"/>
        <w:ind w:left="284"/>
        <w:jc w:val="both"/>
        <w:rPr>
          <w:rFonts w:asciiTheme="minorHAnsi" w:hAnsiTheme="minorHAnsi"/>
          <w:sz w:val="20"/>
          <w:szCs w:val="20"/>
        </w:rPr>
      </w:pPr>
    </w:p>
    <w:p w:rsidR="003A728E" w:rsidRPr="001F692A" w:rsidRDefault="003A728E" w:rsidP="001F692A">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color w:val="000000" w:themeColor="text1"/>
          <w:sz w:val="20"/>
          <w:szCs w:val="20"/>
        </w:rPr>
        <w:t xml:space="preserve">Duplicity v osnově studie </w:t>
      </w:r>
      <w:r w:rsidRPr="001F692A">
        <w:rPr>
          <w:rFonts w:asciiTheme="minorHAnsi" w:hAnsiTheme="minorHAnsi"/>
          <w:sz w:val="20"/>
          <w:szCs w:val="20"/>
        </w:rPr>
        <w:t>proveditelnosti - nadbytečné opakování údajů v několika částech studie, např. přínosy a dopady projektu se částečně p</w:t>
      </w:r>
      <w:r w:rsidR="001A6FF2" w:rsidRPr="001F692A">
        <w:rPr>
          <w:rFonts w:asciiTheme="minorHAnsi" w:hAnsiTheme="minorHAnsi"/>
          <w:sz w:val="20"/>
          <w:szCs w:val="20"/>
        </w:rPr>
        <w:t>rolínají v několika kapitolách:</w:t>
      </w:r>
    </w:p>
    <w:p w:rsidR="003A728E" w:rsidRPr="001F692A" w:rsidRDefault="00B078EC" w:rsidP="001F692A">
      <w:pPr>
        <w:pStyle w:val="Odstavecseseznamem"/>
        <w:jc w:val="both"/>
        <w:rPr>
          <w:rFonts w:asciiTheme="minorHAnsi" w:hAnsiTheme="minorHAnsi"/>
          <w:sz w:val="20"/>
          <w:szCs w:val="20"/>
        </w:rPr>
      </w:pPr>
      <w:r w:rsidRPr="001F692A">
        <w:rPr>
          <w:rFonts w:asciiTheme="minorHAnsi" w:hAnsiTheme="minorHAnsi"/>
          <w:sz w:val="20"/>
          <w:szCs w:val="20"/>
        </w:rPr>
        <w:tab/>
      </w:r>
      <w:r w:rsidR="003A728E" w:rsidRPr="001F692A">
        <w:rPr>
          <w:rFonts w:asciiTheme="minorHAnsi" w:hAnsiTheme="minorHAnsi"/>
          <w:sz w:val="20"/>
          <w:szCs w:val="20"/>
        </w:rPr>
        <w:t>Kap. 05: Identifikace negativních dopadů projektu</w:t>
      </w:r>
    </w:p>
    <w:p w:rsidR="003A728E" w:rsidRPr="001F692A" w:rsidRDefault="00B078EC" w:rsidP="001F692A">
      <w:pPr>
        <w:pStyle w:val="Odstavecseseznamem"/>
        <w:jc w:val="both"/>
        <w:rPr>
          <w:rFonts w:asciiTheme="minorHAnsi" w:hAnsiTheme="minorHAnsi"/>
          <w:sz w:val="20"/>
          <w:szCs w:val="20"/>
        </w:rPr>
      </w:pPr>
      <w:r w:rsidRPr="001F692A">
        <w:rPr>
          <w:rFonts w:asciiTheme="minorHAnsi" w:hAnsiTheme="minorHAnsi"/>
          <w:sz w:val="20"/>
          <w:szCs w:val="20"/>
        </w:rPr>
        <w:tab/>
      </w:r>
      <w:r w:rsidR="003A728E" w:rsidRPr="001F692A">
        <w:rPr>
          <w:rFonts w:asciiTheme="minorHAnsi" w:hAnsiTheme="minorHAnsi"/>
          <w:sz w:val="20"/>
          <w:szCs w:val="20"/>
        </w:rPr>
        <w:t>Kap. 06: Identifikace dopadů a přínosů projektu s důrazem na popis dopadů na cílové skupiny.</w:t>
      </w:r>
    </w:p>
    <w:p w:rsidR="003A728E" w:rsidRPr="001F692A" w:rsidRDefault="00B078EC" w:rsidP="001F692A">
      <w:pPr>
        <w:pStyle w:val="Odstavecseseznamem"/>
        <w:jc w:val="both"/>
        <w:rPr>
          <w:rFonts w:asciiTheme="minorHAnsi" w:hAnsiTheme="minorHAnsi"/>
          <w:sz w:val="20"/>
          <w:szCs w:val="20"/>
        </w:rPr>
      </w:pPr>
      <w:r w:rsidRPr="001F692A">
        <w:rPr>
          <w:rFonts w:asciiTheme="minorHAnsi" w:hAnsiTheme="minorHAnsi"/>
          <w:sz w:val="20"/>
          <w:szCs w:val="20"/>
        </w:rPr>
        <w:tab/>
      </w:r>
      <w:r w:rsidR="003A728E" w:rsidRPr="001F692A">
        <w:rPr>
          <w:rFonts w:asciiTheme="minorHAnsi" w:hAnsiTheme="minorHAnsi"/>
          <w:sz w:val="20"/>
          <w:szCs w:val="20"/>
        </w:rPr>
        <w:t>Kap. 09: Stručný popis vlivů projektu na hlavní složky životního prostředí a jejich významu</w:t>
      </w:r>
    </w:p>
    <w:p w:rsidR="003A728E" w:rsidRDefault="00B078EC" w:rsidP="001F692A">
      <w:pPr>
        <w:pStyle w:val="Odstavecseseznamem"/>
        <w:jc w:val="both"/>
        <w:rPr>
          <w:rFonts w:asciiTheme="minorHAnsi" w:hAnsiTheme="minorHAnsi"/>
          <w:sz w:val="20"/>
          <w:szCs w:val="20"/>
        </w:rPr>
      </w:pPr>
      <w:r w:rsidRPr="001F692A">
        <w:rPr>
          <w:rFonts w:asciiTheme="minorHAnsi" w:hAnsiTheme="minorHAnsi"/>
          <w:sz w:val="20"/>
          <w:szCs w:val="20"/>
        </w:rPr>
        <w:tab/>
      </w:r>
      <w:r w:rsidR="003A728E" w:rsidRPr="001F692A">
        <w:rPr>
          <w:rFonts w:asciiTheme="minorHAnsi" w:hAnsiTheme="minorHAnsi"/>
          <w:sz w:val="20"/>
          <w:szCs w:val="20"/>
        </w:rPr>
        <w:t>Kap. 16. Vliv projektu na horizontální kritéria</w:t>
      </w:r>
    </w:p>
    <w:p w:rsidR="00984020" w:rsidRPr="001F692A" w:rsidRDefault="00984020" w:rsidP="001F692A">
      <w:pPr>
        <w:pStyle w:val="Odstavecseseznamem"/>
        <w:jc w:val="both"/>
        <w:rPr>
          <w:rFonts w:asciiTheme="minorHAnsi" w:hAnsiTheme="minorHAnsi"/>
          <w:sz w:val="20"/>
          <w:szCs w:val="20"/>
        </w:rPr>
      </w:pPr>
    </w:p>
    <w:p w:rsidR="003972ED" w:rsidRPr="008A36A8" w:rsidRDefault="003972ED" w:rsidP="003972ED">
      <w:pPr>
        <w:pStyle w:val="Odstavecseseznamem"/>
        <w:ind w:left="284"/>
        <w:jc w:val="both"/>
        <w:rPr>
          <w:b/>
          <w:color w:val="000000" w:themeColor="text1"/>
          <w:sz w:val="20"/>
          <w:szCs w:val="20"/>
        </w:rPr>
      </w:pPr>
      <w:r w:rsidRPr="008A36A8">
        <w:rPr>
          <w:b/>
          <w:color w:val="000000" w:themeColor="text1"/>
          <w:sz w:val="20"/>
          <w:szCs w:val="20"/>
        </w:rPr>
        <w:t>Reakce ŘO IROP</w:t>
      </w:r>
    </w:p>
    <w:tbl>
      <w:tblPr>
        <w:tblStyle w:val="Mkatabulky"/>
        <w:tblW w:w="0" w:type="auto"/>
        <w:tblInd w:w="392" w:type="dxa"/>
        <w:tblLook w:val="04A0"/>
      </w:tblPr>
      <w:tblGrid>
        <w:gridCol w:w="8896"/>
      </w:tblGrid>
      <w:tr w:rsidR="003972ED" w:rsidTr="00930A5D">
        <w:tc>
          <w:tcPr>
            <w:tcW w:w="8896" w:type="dxa"/>
          </w:tcPr>
          <w:p w:rsidR="003972ED" w:rsidRPr="00050E2D" w:rsidRDefault="00CA288A" w:rsidP="00A24C3B">
            <w:pPr>
              <w:pStyle w:val="Odstavecseseznamem"/>
              <w:ind w:left="0"/>
              <w:jc w:val="both"/>
              <w:rPr>
                <w:color w:val="365F91" w:themeColor="accent1" w:themeShade="BF"/>
                <w:sz w:val="20"/>
                <w:szCs w:val="20"/>
              </w:rPr>
            </w:pPr>
            <w:r w:rsidRPr="00CA288A">
              <w:rPr>
                <w:color w:val="365F91" w:themeColor="accent1" w:themeShade="BF"/>
                <w:sz w:val="20"/>
                <w:szCs w:val="20"/>
              </w:rPr>
              <w:t>V připravované reviz</w:t>
            </w:r>
            <w:r w:rsidR="00A24C3B">
              <w:rPr>
                <w:color w:val="365F91" w:themeColor="accent1" w:themeShade="BF"/>
                <w:sz w:val="20"/>
                <w:szCs w:val="20"/>
              </w:rPr>
              <w:t>i</w:t>
            </w:r>
            <w:r w:rsidRPr="00CA288A">
              <w:rPr>
                <w:color w:val="365F91" w:themeColor="accent1" w:themeShade="BF"/>
                <w:sz w:val="20"/>
                <w:szCs w:val="20"/>
              </w:rPr>
              <w:t xml:space="preserve"> Specifických pravidel 1. výzvy </w:t>
            </w:r>
            <w:r w:rsidR="00A24C3B">
              <w:rPr>
                <w:color w:val="365F91" w:themeColor="accent1" w:themeShade="BF"/>
                <w:sz w:val="20"/>
                <w:szCs w:val="20"/>
              </w:rPr>
              <w:t>ŘO IROP</w:t>
            </w:r>
            <w:r w:rsidRPr="00CA288A">
              <w:rPr>
                <w:color w:val="365F91" w:themeColor="accent1" w:themeShade="BF"/>
                <w:sz w:val="20"/>
                <w:szCs w:val="20"/>
              </w:rPr>
              <w:t xml:space="preserve"> v některých bodech Studi</w:t>
            </w:r>
            <w:r w:rsidR="00A24C3B">
              <w:rPr>
                <w:color w:val="365F91" w:themeColor="accent1" w:themeShade="BF"/>
                <w:sz w:val="20"/>
                <w:szCs w:val="20"/>
              </w:rPr>
              <w:t>i</w:t>
            </w:r>
            <w:r w:rsidRPr="00CA288A">
              <w:rPr>
                <w:color w:val="365F91" w:themeColor="accent1" w:themeShade="BF"/>
                <w:sz w:val="20"/>
                <w:szCs w:val="20"/>
              </w:rPr>
              <w:t xml:space="preserve"> proveditelnosti upřesní nebo zjednoduší. </w:t>
            </w:r>
          </w:p>
        </w:tc>
      </w:tr>
    </w:tbl>
    <w:p w:rsidR="002A64F1" w:rsidRPr="001F692A" w:rsidRDefault="002A64F1" w:rsidP="001F692A">
      <w:pPr>
        <w:rPr>
          <w:rFonts w:asciiTheme="minorHAnsi" w:hAnsiTheme="minorHAnsi"/>
          <w:b/>
          <w:sz w:val="20"/>
          <w:szCs w:val="20"/>
        </w:rPr>
      </w:pPr>
    </w:p>
    <w:p w:rsidR="00B078EC" w:rsidRPr="001F692A" w:rsidRDefault="00541ABA" w:rsidP="001F692A">
      <w:pPr>
        <w:rPr>
          <w:rFonts w:asciiTheme="minorHAnsi" w:hAnsiTheme="minorHAnsi"/>
          <w:b/>
          <w:sz w:val="20"/>
          <w:szCs w:val="20"/>
        </w:rPr>
      </w:pPr>
      <w:r w:rsidRPr="001F692A">
        <w:rPr>
          <w:rFonts w:asciiTheme="minorHAnsi" w:hAnsiTheme="minorHAnsi"/>
          <w:b/>
          <w:sz w:val="20"/>
          <w:szCs w:val="20"/>
        </w:rPr>
        <w:t xml:space="preserve">SC 1.2 </w:t>
      </w:r>
      <w:r w:rsidR="00A24C3B">
        <w:rPr>
          <w:rFonts w:asciiTheme="minorHAnsi" w:hAnsiTheme="minorHAnsi"/>
          <w:b/>
          <w:sz w:val="20"/>
          <w:szCs w:val="20"/>
        </w:rPr>
        <w:t>C</w:t>
      </w:r>
      <w:r w:rsidRPr="001F692A">
        <w:rPr>
          <w:rFonts w:asciiTheme="minorHAnsi" w:hAnsiTheme="minorHAnsi"/>
          <w:b/>
          <w:sz w:val="20"/>
          <w:szCs w:val="20"/>
        </w:rPr>
        <w:t xml:space="preserve">yklodoprava </w:t>
      </w:r>
    </w:p>
    <w:p w:rsidR="003972ED" w:rsidRDefault="006D443E" w:rsidP="003972ED">
      <w:pPr>
        <w:pStyle w:val="Odstavecseseznamem"/>
        <w:numPr>
          <w:ilvl w:val="0"/>
          <w:numId w:val="2"/>
        </w:numPr>
        <w:ind w:left="284" w:hanging="284"/>
        <w:rPr>
          <w:rFonts w:asciiTheme="minorHAnsi" w:hAnsiTheme="minorHAnsi"/>
          <w:sz w:val="20"/>
          <w:szCs w:val="20"/>
        </w:rPr>
      </w:pPr>
      <w:r w:rsidRPr="001F692A">
        <w:rPr>
          <w:rFonts w:asciiTheme="minorHAnsi" w:hAnsiTheme="minorHAnsi"/>
          <w:sz w:val="20"/>
          <w:szCs w:val="20"/>
        </w:rPr>
        <w:t xml:space="preserve">Příliš úzké vymezení kritérií pro cyklostezky a cyklotrasy - podmínky kopírují SFDI, </w:t>
      </w:r>
      <w:r w:rsidR="0014660C" w:rsidRPr="001F692A">
        <w:rPr>
          <w:rFonts w:asciiTheme="minorHAnsi" w:hAnsiTheme="minorHAnsi"/>
          <w:sz w:val="20"/>
          <w:szCs w:val="20"/>
        </w:rPr>
        <w:t>„</w:t>
      </w:r>
      <w:r w:rsidRPr="001F692A">
        <w:rPr>
          <w:rFonts w:asciiTheme="minorHAnsi" w:hAnsiTheme="minorHAnsi"/>
          <w:sz w:val="20"/>
          <w:szCs w:val="20"/>
        </w:rPr>
        <w:t>potřebovali bychom mírnější vymezení alespoň pro cyklotrasy - ideálně, aby mohly vést i po polních cestách“</w:t>
      </w:r>
    </w:p>
    <w:p w:rsidR="00984020" w:rsidRDefault="00984020" w:rsidP="00984020">
      <w:pPr>
        <w:pStyle w:val="Odstavecseseznamem"/>
        <w:ind w:left="284"/>
        <w:rPr>
          <w:rFonts w:asciiTheme="minorHAnsi" w:hAnsiTheme="minorHAnsi"/>
          <w:sz w:val="20"/>
          <w:szCs w:val="20"/>
        </w:rPr>
      </w:pPr>
    </w:p>
    <w:p w:rsidR="003972ED" w:rsidRPr="003972ED" w:rsidRDefault="003972ED" w:rsidP="003972ED">
      <w:pPr>
        <w:pStyle w:val="Odstavecseseznamem"/>
        <w:ind w:left="284"/>
        <w:rPr>
          <w:rFonts w:asciiTheme="minorHAnsi" w:hAnsiTheme="minorHAnsi"/>
          <w:sz w:val="20"/>
          <w:szCs w:val="20"/>
        </w:rPr>
      </w:pPr>
      <w:r w:rsidRPr="003972ED">
        <w:rPr>
          <w:b/>
          <w:color w:val="000000" w:themeColor="text1"/>
          <w:sz w:val="20"/>
          <w:szCs w:val="20"/>
        </w:rPr>
        <w:t>Reakce ŘO IROP</w:t>
      </w:r>
    </w:p>
    <w:tbl>
      <w:tblPr>
        <w:tblStyle w:val="Mkatabulky"/>
        <w:tblW w:w="0" w:type="auto"/>
        <w:tblInd w:w="392" w:type="dxa"/>
        <w:tblLook w:val="04A0"/>
      </w:tblPr>
      <w:tblGrid>
        <w:gridCol w:w="8896"/>
      </w:tblGrid>
      <w:tr w:rsidR="003972ED" w:rsidTr="00930A5D">
        <w:tc>
          <w:tcPr>
            <w:tcW w:w="8896" w:type="dxa"/>
          </w:tcPr>
          <w:p w:rsidR="003972ED" w:rsidRDefault="00CA288A" w:rsidP="00A24C3B">
            <w:pPr>
              <w:pStyle w:val="Odstavecseseznamem"/>
              <w:ind w:left="0"/>
              <w:jc w:val="both"/>
              <w:rPr>
                <w:color w:val="000000" w:themeColor="text1"/>
                <w:sz w:val="20"/>
                <w:szCs w:val="20"/>
              </w:rPr>
            </w:pPr>
            <w:r w:rsidRPr="00CA288A">
              <w:rPr>
                <w:color w:val="365F91" w:themeColor="accent1" w:themeShade="BF"/>
                <w:sz w:val="20"/>
                <w:szCs w:val="20"/>
              </w:rPr>
              <w:t xml:space="preserve">Předpokládáme, že připomínka se </w:t>
            </w:r>
            <w:r w:rsidR="00A24C3B">
              <w:rPr>
                <w:color w:val="365F91" w:themeColor="accent1" w:themeShade="BF"/>
                <w:sz w:val="20"/>
                <w:szCs w:val="20"/>
              </w:rPr>
              <w:t>týká</w:t>
            </w:r>
            <w:r w:rsidRPr="00CA288A">
              <w:rPr>
                <w:color w:val="365F91" w:themeColor="accent1" w:themeShade="BF"/>
                <w:sz w:val="20"/>
                <w:szCs w:val="20"/>
              </w:rPr>
              <w:t xml:space="preserve"> vymezení hlavních podporovaných aktivit v aktivitě SC 1.2 „Cyklodoprava“. Programový dokument IROP hovoří o výstavbě a modernizaci cyklotras se zaměřením na podporu integrovaných řešení, např. cyklistických pruhů na komunikacích nebo víceúčelových pruhů. </w:t>
            </w:r>
            <w:r w:rsidR="00A24C3B">
              <w:rPr>
                <w:color w:val="365F91" w:themeColor="accent1" w:themeShade="BF"/>
                <w:sz w:val="20"/>
                <w:szCs w:val="20"/>
              </w:rPr>
              <w:t>V</w:t>
            </w:r>
            <w:r w:rsidRPr="00CA288A">
              <w:rPr>
                <w:color w:val="365F91" w:themeColor="accent1" w:themeShade="BF"/>
                <w:sz w:val="20"/>
                <w:szCs w:val="20"/>
              </w:rPr>
              <w:t> souladu s tím je vymezena jedna ze tří hlavních podporovaných aktivit v aktivitě SC 1.2 „Cyklodoprava“ v 18. výzvě. Předmětem podpory IROP nejsou a nebudou investice do účelových komunikací typu polních cest.</w:t>
            </w:r>
          </w:p>
        </w:tc>
      </w:tr>
    </w:tbl>
    <w:p w:rsidR="00B078EC" w:rsidRPr="001F692A" w:rsidRDefault="00B078EC" w:rsidP="001F692A">
      <w:pPr>
        <w:rPr>
          <w:rFonts w:asciiTheme="minorHAnsi" w:hAnsiTheme="minorHAnsi"/>
          <w:sz w:val="20"/>
          <w:szCs w:val="20"/>
        </w:rPr>
      </w:pPr>
    </w:p>
    <w:p w:rsidR="00B078EC" w:rsidRPr="001F692A" w:rsidRDefault="001A6FF2" w:rsidP="001F692A">
      <w:pPr>
        <w:rPr>
          <w:rFonts w:asciiTheme="minorHAnsi" w:hAnsiTheme="minorHAnsi"/>
          <w:b/>
          <w:sz w:val="20"/>
          <w:szCs w:val="20"/>
        </w:rPr>
      </w:pPr>
      <w:r w:rsidRPr="001F692A">
        <w:rPr>
          <w:rFonts w:asciiTheme="minorHAnsi" w:hAnsiTheme="minorHAnsi"/>
          <w:b/>
          <w:sz w:val="20"/>
          <w:szCs w:val="20"/>
        </w:rPr>
        <w:t>SC</w:t>
      </w:r>
      <w:r w:rsidR="006D443E" w:rsidRPr="001F692A">
        <w:rPr>
          <w:rFonts w:asciiTheme="minorHAnsi" w:hAnsiTheme="minorHAnsi"/>
          <w:b/>
          <w:sz w:val="20"/>
          <w:szCs w:val="20"/>
        </w:rPr>
        <w:t>.</w:t>
      </w:r>
      <w:r w:rsidR="00AD4F10" w:rsidRPr="001F692A">
        <w:rPr>
          <w:rFonts w:asciiTheme="minorHAnsi" w:hAnsiTheme="minorHAnsi"/>
          <w:b/>
          <w:sz w:val="20"/>
          <w:szCs w:val="20"/>
        </w:rPr>
        <w:t>2.</w:t>
      </w:r>
      <w:r w:rsidR="006D443E" w:rsidRPr="001F692A">
        <w:rPr>
          <w:rFonts w:asciiTheme="minorHAnsi" w:hAnsiTheme="minorHAnsi"/>
          <w:b/>
          <w:sz w:val="20"/>
          <w:szCs w:val="20"/>
        </w:rPr>
        <w:t xml:space="preserve">1 deinstitucionalizace sociálních služeb: </w:t>
      </w:r>
    </w:p>
    <w:p w:rsidR="00B266C7" w:rsidRDefault="0014660C" w:rsidP="00B266C7">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P</w:t>
      </w:r>
      <w:r w:rsidR="006D443E" w:rsidRPr="001F692A">
        <w:rPr>
          <w:rFonts w:asciiTheme="minorHAnsi" w:hAnsiTheme="minorHAnsi"/>
          <w:sz w:val="20"/>
          <w:szCs w:val="20"/>
        </w:rPr>
        <w:t>rosba o prodloužení výzvy o 6 měsíců.</w:t>
      </w:r>
    </w:p>
    <w:p w:rsidR="00984020" w:rsidRDefault="00984020" w:rsidP="00984020">
      <w:pPr>
        <w:pStyle w:val="Odstavecseseznamem"/>
        <w:ind w:left="284"/>
        <w:jc w:val="both"/>
        <w:rPr>
          <w:rFonts w:asciiTheme="minorHAnsi" w:hAnsiTheme="minorHAnsi"/>
          <w:sz w:val="20"/>
          <w:szCs w:val="20"/>
        </w:rPr>
      </w:pPr>
    </w:p>
    <w:p w:rsidR="00B266C7" w:rsidRPr="00B266C7" w:rsidRDefault="00B266C7" w:rsidP="00B266C7">
      <w:pPr>
        <w:pStyle w:val="Odstavecseseznamem"/>
        <w:ind w:left="284"/>
        <w:jc w:val="both"/>
        <w:rPr>
          <w:rFonts w:asciiTheme="minorHAnsi" w:hAnsiTheme="minorHAnsi"/>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Pr="00626B3F" w:rsidRDefault="00626B3F" w:rsidP="00A24C3B">
            <w:pPr>
              <w:pStyle w:val="Odstavecseseznamem"/>
              <w:ind w:left="0"/>
              <w:jc w:val="both"/>
              <w:rPr>
                <w:color w:val="0070C0"/>
                <w:sz w:val="20"/>
                <w:szCs w:val="20"/>
              </w:rPr>
            </w:pPr>
            <w:r w:rsidRPr="00050E2D">
              <w:rPr>
                <w:color w:val="365F91" w:themeColor="accent1" w:themeShade="BF"/>
                <w:sz w:val="20"/>
                <w:szCs w:val="20"/>
              </w:rPr>
              <w:t>Kolová výzva nemůže být prodloužena. Projekt můžete předložit do další výzvy na deinstitucionalizaci sociálních služeb, která je plánovaná na polovinu roku 2016. Harmonogram výzev IROP bude ještě upraven</w:t>
            </w:r>
            <w:r w:rsidR="00A24C3B" w:rsidRPr="00050E2D">
              <w:rPr>
                <w:color w:val="365F91" w:themeColor="accent1" w:themeShade="BF"/>
                <w:sz w:val="20"/>
                <w:szCs w:val="20"/>
              </w:rPr>
              <w:t xml:space="preserve"> po</w:t>
            </w:r>
            <w:r w:rsidRPr="00050E2D">
              <w:rPr>
                <w:color w:val="365F91" w:themeColor="accent1" w:themeShade="BF"/>
                <w:sz w:val="20"/>
                <w:szCs w:val="20"/>
              </w:rPr>
              <w:t> vyhodnocení probíhající výzvy.</w:t>
            </w:r>
          </w:p>
        </w:tc>
      </w:tr>
    </w:tbl>
    <w:p w:rsidR="00B266C7" w:rsidRDefault="00B266C7" w:rsidP="00B266C7">
      <w:pPr>
        <w:pStyle w:val="Odstavecseseznamem"/>
        <w:ind w:left="284"/>
        <w:jc w:val="both"/>
        <w:rPr>
          <w:rFonts w:asciiTheme="minorHAnsi" w:hAnsiTheme="minorHAnsi"/>
          <w:sz w:val="20"/>
          <w:szCs w:val="20"/>
        </w:rPr>
      </w:pPr>
    </w:p>
    <w:p w:rsidR="00B266C7" w:rsidRDefault="0014660C" w:rsidP="00B266C7">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J</w:t>
      </w:r>
      <w:r w:rsidR="006D443E" w:rsidRPr="001F692A">
        <w:rPr>
          <w:rFonts w:asciiTheme="minorHAnsi" w:hAnsiTheme="minorHAnsi"/>
          <w:sz w:val="20"/>
          <w:szCs w:val="20"/>
        </w:rPr>
        <w:t>ako největší problém vnímáme  časové omezení výzvy, 6 měsíců na přípravu projektu není rozhodně moc, zvlášť když podmínky výzvy jsou zveřejněny pouze 30 dní před zahájením příjmu žádostí. Podle podmínek teprve víme, jaké nemovitosti pro nás budou vhodné. Zahájit jednání o odkupu nemovitostí, začít projektovat apod., to není v tomto čase reálné dokončit tak, aby bylo možné podat projektovou žádost se všemi povinnými přílohami (při podání projektu musí být podáno stavební povolení – tj. zpracována projektová dokumentace). V oblasti deinstitucionalizace sociálních služeb tedy budeme chystat projekty až do druhé výzvy a budeme projektovat již v době projednávání koupě nemovitostí. Pokud by potom ke koupi nedošlo, jsou peníze na projektování zmařená investice. Přesto budeme mít vážný problém vše do předpokládané uzávěrky druhé výzvy stihnout (asi září nebo říjen 2016) a pomohl by nám posun tohoto termínu. Méně motivovaní žadatelé si řeknou, že nelze financovat projektování, když to nelze časově zvládnout a neprojeví o výzvu zájem.</w:t>
      </w:r>
    </w:p>
    <w:p w:rsidR="00984020" w:rsidRDefault="00984020" w:rsidP="00984020">
      <w:pPr>
        <w:pStyle w:val="Odstavecseseznamem"/>
        <w:ind w:left="284"/>
        <w:jc w:val="both"/>
        <w:rPr>
          <w:rFonts w:asciiTheme="minorHAnsi" w:hAnsiTheme="minorHAnsi"/>
          <w:sz w:val="20"/>
          <w:szCs w:val="20"/>
        </w:rPr>
      </w:pPr>
    </w:p>
    <w:p w:rsidR="00B266C7" w:rsidRPr="00B266C7" w:rsidRDefault="00B266C7" w:rsidP="00B266C7">
      <w:pPr>
        <w:pStyle w:val="Odstavecseseznamem"/>
        <w:ind w:left="284"/>
        <w:jc w:val="both"/>
        <w:rPr>
          <w:rFonts w:asciiTheme="minorHAnsi" w:hAnsiTheme="minorHAnsi"/>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Default="00626B3F" w:rsidP="00930A5D">
            <w:pPr>
              <w:pStyle w:val="Odstavecseseznamem"/>
              <w:ind w:left="0"/>
              <w:jc w:val="both"/>
              <w:rPr>
                <w:color w:val="000000" w:themeColor="text1"/>
                <w:sz w:val="20"/>
                <w:szCs w:val="20"/>
              </w:rPr>
            </w:pPr>
            <w:r w:rsidRPr="00050E2D">
              <w:rPr>
                <w:color w:val="365F91" w:themeColor="accent1" w:themeShade="BF"/>
                <w:sz w:val="20"/>
                <w:szCs w:val="20"/>
              </w:rPr>
              <w:t>Podmínky výzev budou obdobné.</w:t>
            </w:r>
          </w:p>
        </w:tc>
      </w:tr>
    </w:tbl>
    <w:p w:rsidR="00B266C7" w:rsidRDefault="00B266C7" w:rsidP="00B266C7">
      <w:pPr>
        <w:pStyle w:val="Odstavecseseznamem"/>
        <w:ind w:left="284"/>
        <w:jc w:val="both"/>
        <w:rPr>
          <w:rFonts w:asciiTheme="minorHAnsi" w:hAnsiTheme="minorHAnsi" w:cs="Arial CE"/>
          <w:sz w:val="20"/>
          <w:szCs w:val="20"/>
        </w:rPr>
      </w:pPr>
    </w:p>
    <w:p w:rsidR="006D443E" w:rsidRPr="001F692A" w:rsidRDefault="006D443E" w:rsidP="001F692A">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 xml:space="preserve">Jako jednu z bariér lze definovat doložení dokladů viz. kapitola </w:t>
      </w:r>
      <w:r w:rsidR="001F692A" w:rsidRPr="001F692A">
        <w:rPr>
          <w:rFonts w:asciiTheme="minorHAnsi" w:hAnsiTheme="minorHAnsi" w:cs="Arial CE"/>
          <w:sz w:val="20"/>
          <w:szCs w:val="20"/>
        </w:rPr>
        <w:t>„</w:t>
      </w:r>
      <w:r w:rsidRPr="001F692A">
        <w:rPr>
          <w:rFonts w:asciiTheme="minorHAnsi" w:hAnsiTheme="minorHAnsi" w:cs="Arial CE"/>
          <w:sz w:val="20"/>
          <w:szCs w:val="20"/>
        </w:rPr>
        <w:t>Povinné přílohy žádosti o podporu</w:t>
      </w:r>
      <w:r w:rsidR="001F692A" w:rsidRPr="001F692A">
        <w:rPr>
          <w:rFonts w:asciiTheme="minorHAnsi" w:hAnsiTheme="minorHAnsi" w:cs="Arial CE"/>
          <w:sz w:val="20"/>
          <w:szCs w:val="20"/>
        </w:rPr>
        <w:t>“</w:t>
      </w:r>
      <w:r w:rsidRPr="001F692A">
        <w:rPr>
          <w:rFonts w:asciiTheme="minorHAnsi" w:hAnsiTheme="minorHAnsi" w:cs="Arial CE"/>
          <w:sz w:val="20"/>
          <w:szCs w:val="20"/>
        </w:rPr>
        <w:t xml:space="preserve">. V případě výstavby jsou náklady na pořízení pozemků a projektové dokumentace s doložením ÚR a SP již ve </w:t>
      </w:r>
      <w:r w:rsidRPr="001F692A">
        <w:rPr>
          <w:rFonts w:asciiTheme="minorHAnsi" w:hAnsiTheme="minorHAnsi" w:cs="Arial CE"/>
          <w:sz w:val="20"/>
          <w:szCs w:val="20"/>
        </w:rPr>
        <w:lastRenderedPageBreak/>
        <w:t>značné výši a pro budoucího příjemce dotace, který nemá registraci akci a rozhodnutí o poskytnutí dotace, jsou do jisté míry demotivující.</w:t>
      </w:r>
    </w:p>
    <w:p w:rsidR="00B266C7" w:rsidRDefault="006D443E" w:rsidP="00B266C7">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Dále se jako bariéra může považovat uznatelnost výdajů na vedlejší aktivity projektu do 15 % z celkových způsobilých výdajů.</w:t>
      </w:r>
    </w:p>
    <w:p w:rsidR="00984020" w:rsidRDefault="00984020" w:rsidP="00984020">
      <w:pPr>
        <w:pStyle w:val="Odstavecseseznamem"/>
        <w:ind w:left="284"/>
        <w:jc w:val="both"/>
        <w:rPr>
          <w:rFonts w:asciiTheme="minorHAnsi" w:hAnsiTheme="minorHAnsi" w:cs="Arial CE"/>
          <w:sz w:val="20"/>
          <w:szCs w:val="20"/>
        </w:rPr>
      </w:pPr>
    </w:p>
    <w:p w:rsidR="00B266C7" w:rsidRPr="00B266C7" w:rsidRDefault="00B266C7" w:rsidP="00B266C7">
      <w:pPr>
        <w:pStyle w:val="Odstavecseseznamem"/>
        <w:ind w:left="284"/>
        <w:jc w:val="both"/>
        <w:rPr>
          <w:rFonts w:asciiTheme="minorHAnsi" w:hAnsiTheme="minorHAnsi" w:cs="Arial CE"/>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Default="00C04948" w:rsidP="00A24C3B">
            <w:pPr>
              <w:pStyle w:val="Odstavecseseznamem"/>
              <w:ind w:left="0"/>
              <w:jc w:val="both"/>
              <w:rPr>
                <w:color w:val="000000" w:themeColor="text1"/>
                <w:sz w:val="20"/>
                <w:szCs w:val="20"/>
              </w:rPr>
            </w:pPr>
            <w:r w:rsidRPr="00050E2D">
              <w:rPr>
                <w:color w:val="365F91" w:themeColor="accent1" w:themeShade="BF"/>
                <w:sz w:val="20"/>
                <w:szCs w:val="20"/>
              </w:rPr>
              <w:t>Poměr 85:15 byl nastaven, aby podpora cílila na svůj účel a oddělila doprovodné výdaje.</w:t>
            </w:r>
          </w:p>
        </w:tc>
      </w:tr>
    </w:tbl>
    <w:p w:rsidR="00B266C7" w:rsidRDefault="00B266C7" w:rsidP="00B266C7">
      <w:pPr>
        <w:pStyle w:val="Odstavecseseznamem"/>
        <w:ind w:left="284"/>
        <w:jc w:val="both"/>
        <w:rPr>
          <w:rFonts w:asciiTheme="minorHAnsi" w:hAnsiTheme="minorHAnsi" w:cs="Arial CE"/>
          <w:sz w:val="20"/>
          <w:szCs w:val="20"/>
        </w:rPr>
      </w:pPr>
    </w:p>
    <w:p w:rsidR="00B266C7" w:rsidRDefault="0014660C" w:rsidP="00B266C7">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N</w:t>
      </w:r>
      <w:r w:rsidR="002A64F1" w:rsidRPr="001F692A">
        <w:rPr>
          <w:rFonts w:asciiTheme="minorHAnsi" w:hAnsiTheme="minorHAnsi" w:cs="Arial CE"/>
          <w:sz w:val="20"/>
          <w:szCs w:val="20"/>
        </w:rPr>
        <w:t>ižší stupeň zpracování projektové dokumentace (např. investiční záměr)</w:t>
      </w:r>
    </w:p>
    <w:p w:rsidR="00984020" w:rsidRDefault="00984020" w:rsidP="00984020">
      <w:pPr>
        <w:pStyle w:val="Odstavecseseznamem"/>
        <w:ind w:left="284"/>
        <w:jc w:val="both"/>
        <w:rPr>
          <w:rFonts w:asciiTheme="minorHAnsi" w:hAnsiTheme="minorHAnsi" w:cs="Arial CE"/>
          <w:sz w:val="20"/>
          <w:szCs w:val="20"/>
        </w:rPr>
      </w:pPr>
    </w:p>
    <w:p w:rsidR="00B266C7" w:rsidRPr="00B266C7" w:rsidRDefault="00B266C7" w:rsidP="00B266C7">
      <w:pPr>
        <w:pStyle w:val="Odstavecseseznamem"/>
        <w:ind w:left="284"/>
        <w:jc w:val="both"/>
        <w:rPr>
          <w:rFonts w:asciiTheme="minorHAnsi" w:hAnsiTheme="minorHAnsi" w:cs="Arial CE"/>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Pr="00050E2D" w:rsidRDefault="00C04948" w:rsidP="00930A5D">
            <w:pPr>
              <w:pStyle w:val="Odstavecseseznamem"/>
              <w:ind w:left="0"/>
              <w:jc w:val="both"/>
              <w:rPr>
                <w:color w:val="365F91" w:themeColor="accent1" w:themeShade="BF"/>
                <w:sz w:val="20"/>
                <w:szCs w:val="20"/>
              </w:rPr>
            </w:pPr>
            <w:r w:rsidRPr="00050E2D">
              <w:rPr>
                <w:color w:val="365F91" w:themeColor="accent1" w:themeShade="BF"/>
                <w:sz w:val="20"/>
                <w:szCs w:val="20"/>
              </w:rPr>
              <w:t>Jedná se o jednotný přístup v celém IROP</w:t>
            </w:r>
            <w:r w:rsidR="000E5987">
              <w:rPr>
                <w:color w:val="365F91" w:themeColor="accent1" w:themeShade="BF"/>
                <w:sz w:val="20"/>
                <w:szCs w:val="20"/>
              </w:rPr>
              <w:t xml:space="preserve"> a důležitý podklad ro vyhodnocení kritérií přijatelnosti</w:t>
            </w:r>
            <w:r w:rsidRPr="00050E2D">
              <w:rPr>
                <w:color w:val="365F91" w:themeColor="accent1" w:themeShade="BF"/>
                <w:sz w:val="20"/>
                <w:szCs w:val="20"/>
              </w:rPr>
              <w:t>.</w:t>
            </w:r>
          </w:p>
        </w:tc>
      </w:tr>
    </w:tbl>
    <w:p w:rsidR="00B266C7" w:rsidRPr="001F692A" w:rsidRDefault="00B266C7" w:rsidP="00B266C7">
      <w:pPr>
        <w:pStyle w:val="Odstavecseseznamem"/>
        <w:ind w:left="284"/>
        <w:jc w:val="both"/>
        <w:rPr>
          <w:rFonts w:asciiTheme="minorHAnsi" w:hAnsiTheme="minorHAnsi" w:cs="Arial CE"/>
          <w:sz w:val="20"/>
          <w:szCs w:val="20"/>
        </w:rPr>
      </w:pPr>
    </w:p>
    <w:p w:rsidR="002A64F1" w:rsidRDefault="0014660C" w:rsidP="001F692A">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V</w:t>
      </w:r>
      <w:r w:rsidR="002A64F1" w:rsidRPr="001F692A">
        <w:rPr>
          <w:rFonts w:asciiTheme="minorHAnsi" w:hAnsiTheme="minorHAnsi" w:cs="Arial CE"/>
          <w:sz w:val="20"/>
          <w:szCs w:val="20"/>
        </w:rPr>
        <w:t xml:space="preserve"> případě částečné transformace vypustit podmínku zastavení příjmu uživatelů </w:t>
      </w:r>
    </w:p>
    <w:p w:rsidR="00984020" w:rsidRDefault="00984020" w:rsidP="00984020">
      <w:pPr>
        <w:pStyle w:val="Odstavecseseznamem"/>
        <w:ind w:left="284"/>
        <w:jc w:val="both"/>
        <w:rPr>
          <w:rFonts w:asciiTheme="minorHAnsi" w:hAnsiTheme="minorHAnsi" w:cs="Arial CE"/>
          <w:sz w:val="20"/>
          <w:szCs w:val="20"/>
        </w:rPr>
      </w:pPr>
    </w:p>
    <w:p w:rsidR="008F2400" w:rsidRPr="008F2400" w:rsidRDefault="008F2400" w:rsidP="008F2400">
      <w:pPr>
        <w:ind w:firstLine="284"/>
        <w:jc w:val="both"/>
        <w:rPr>
          <w:rFonts w:asciiTheme="minorHAnsi" w:hAnsiTheme="minorHAnsi" w:cs="Arial CE"/>
          <w:sz w:val="20"/>
          <w:szCs w:val="20"/>
        </w:rPr>
      </w:pPr>
      <w:r w:rsidRPr="008F2400">
        <w:rPr>
          <w:b/>
          <w:color w:val="000000" w:themeColor="text1"/>
          <w:sz w:val="20"/>
          <w:szCs w:val="20"/>
        </w:rPr>
        <w:t>Reakce ŘO IROP</w:t>
      </w:r>
    </w:p>
    <w:tbl>
      <w:tblPr>
        <w:tblStyle w:val="Mkatabulky"/>
        <w:tblW w:w="0" w:type="auto"/>
        <w:tblInd w:w="392" w:type="dxa"/>
        <w:tblLook w:val="04A0"/>
      </w:tblPr>
      <w:tblGrid>
        <w:gridCol w:w="8896"/>
      </w:tblGrid>
      <w:tr w:rsidR="008F2400" w:rsidTr="00930A5D">
        <w:tc>
          <w:tcPr>
            <w:tcW w:w="8896" w:type="dxa"/>
          </w:tcPr>
          <w:p w:rsidR="008F2400" w:rsidRPr="00050E2D" w:rsidRDefault="00C04948" w:rsidP="0048217A">
            <w:pPr>
              <w:pStyle w:val="Odstavecseseznamem"/>
              <w:ind w:left="0"/>
              <w:jc w:val="both"/>
              <w:rPr>
                <w:color w:val="365F91" w:themeColor="accent1" w:themeShade="BF"/>
                <w:sz w:val="20"/>
                <w:szCs w:val="20"/>
              </w:rPr>
            </w:pPr>
            <w:r w:rsidRPr="00050E2D">
              <w:rPr>
                <w:color w:val="365F91" w:themeColor="accent1" w:themeShade="BF"/>
                <w:sz w:val="20"/>
                <w:szCs w:val="20"/>
              </w:rPr>
              <w:t>Jedno z kritérií přijatelnosti je Projekt je v souladu s Kritérii sociálních služeb komunitního charakteru a kritérii procesu transformace a deinstitucionalizace. Zmíněné dokumenty vypracov</w:t>
            </w:r>
            <w:r w:rsidR="0048217A" w:rsidRPr="00050E2D">
              <w:rPr>
                <w:color w:val="365F91" w:themeColor="accent1" w:themeShade="BF"/>
                <w:sz w:val="20"/>
                <w:szCs w:val="20"/>
              </w:rPr>
              <w:t>alo</w:t>
            </w:r>
            <w:r w:rsidRPr="00050E2D">
              <w:rPr>
                <w:color w:val="365F91" w:themeColor="accent1" w:themeShade="BF"/>
                <w:sz w:val="20"/>
                <w:szCs w:val="20"/>
              </w:rPr>
              <w:t xml:space="preserve"> MPSV a jsou </w:t>
            </w:r>
            <w:r w:rsidR="0048217A" w:rsidRPr="00050E2D">
              <w:rPr>
                <w:color w:val="365F91" w:themeColor="accent1" w:themeShade="BF"/>
                <w:sz w:val="20"/>
                <w:szCs w:val="20"/>
              </w:rPr>
              <w:t>podkladem pro</w:t>
            </w:r>
            <w:r w:rsidRPr="00050E2D">
              <w:rPr>
                <w:color w:val="365F91" w:themeColor="accent1" w:themeShade="BF"/>
                <w:sz w:val="20"/>
                <w:szCs w:val="20"/>
              </w:rPr>
              <w:t xml:space="preserve"> hodno</w:t>
            </w:r>
            <w:r w:rsidR="0048217A" w:rsidRPr="00050E2D">
              <w:rPr>
                <w:color w:val="365F91" w:themeColor="accent1" w:themeShade="BF"/>
                <w:sz w:val="20"/>
                <w:szCs w:val="20"/>
              </w:rPr>
              <w:t>cení žádostí o podporu</w:t>
            </w:r>
            <w:r w:rsidRPr="00050E2D">
              <w:rPr>
                <w:color w:val="365F91" w:themeColor="accent1" w:themeShade="BF"/>
                <w:sz w:val="20"/>
                <w:szCs w:val="20"/>
              </w:rPr>
              <w:t>. Pro další výzvu s MPSV projednáme úpravu těchto dokumentů.</w:t>
            </w:r>
          </w:p>
        </w:tc>
      </w:tr>
    </w:tbl>
    <w:p w:rsidR="00A24C3B" w:rsidRPr="005D3425" w:rsidRDefault="00A24C3B" w:rsidP="005D3425">
      <w:pPr>
        <w:ind w:left="426"/>
        <w:jc w:val="both"/>
        <w:rPr>
          <w:rFonts w:asciiTheme="minorHAnsi" w:hAnsiTheme="minorHAnsi" w:cs="Arial CE"/>
          <w:sz w:val="20"/>
          <w:szCs w:val="20"/>
        </w:rPr>
      </w:pPr>
    </w:p>
    <w:p w:rsidR="00022B89" w:rsidRDefault="0014660C" w:rsidP="00022B89">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P</w:t>
      </w:r>
      <w:r w:rsidR="002A64F1" w:rsidRPr="001F692A">
        <w:rPr>
          <w:rFonts w:asciiTheme="minorHAnsi" w:hAnsiTheme="minorHAnsi" w:cs="Arial CE"/>
          <w:sz w:val="20"/>
          <w:szCs w:val="20"/>
        </w:rPr>
        <w:t>rokázání vlastnických vztahů k majetku (pořízení nemovitosti) po vydání rozhodnutí - vlastní nákup po schválení projektu</w:t>
      </w:r>
    </w:p>
    <w:p w:rsidR="00984020" w:rsidRDefault="00984020" w:rsidP="00984020">
      <w:pPr>
        <w:pStyle w:val="Odstavecseseznamem"/>
        <w:ind w:left="284"/>
        <w:jc w:val="both"/>
        <w:rPr>
          <w:rFonts w:asciiTheme="minorHAnsi" w:hAnsiTheme="minorHAnsi" w:cs="Arial CE"/>
          <w:sz w:val="20"/>
          <w:szCs w:val="20"/>
        </w:rPr>
      </w:pPr>
    </w:p>
    <w:p w:rsidR="00984020" w:rsidRPr="00022B89" w:rsidRDefault="00022B89" w:rsidP="00022B89">
      <w:pPr>
        <w:pStyle w:val="Odstavecseseznamem"/>
        <w:ind w:left="284"/>
        <w:jc w:val="both"/>
        <w:rPr>
          <w:rFonts w:asciiTheme="minorHAnsi" w:hAnsiTheme="minorHAnsi" w:cs="Arial CE"/>
          <w:sz w:val="20"/>
          <w:szCs w:val="20"/>
        </w:rPr>
      </w:pPr>
      <w:r w:rsidRPr="00022B89">
        <w:rPr>
          <w:b/>
          <w:color w:val="000000" w:themeColor="text1"/>
          <w:sz w:val="20"/>
          <w:szCs w:val="20"/>
        </w:rPr>
        <w:t>Reakce ŘO IROP</w:t>
      </w:r>
    </w:p>
    <w:tbl>
      <w:tblPr>
        <w:tblStyle w:val="Mkatabulky"/>
        <w:tblW w:w="0" w:type="auto"/>
        <w:tblInd w:w="392" w:type="dxa"/>
        <w:tblLook w:val="04A0"/>
      </w:tblPr>
      <w:tblGrid>
        <w:gridCol w:w="8896"/>
      </w:tblGrid>
      <w:tr w:rsidR="00022B89" w:rsidTr="00930A5D">
        <w:tc>
          <w:tcPr>
            <w:tcW w:w="8896" w:type="dxa"/>
          </w:tcPr>
          <w:p w:rsidR="00022B89" w:rsidRDefault="000E5987" w:rsidP="00930A5D">
            <w:pPr>
              <w:pStyle w:val="Odstavecseseznamem"/>
              <w:ind w:left="0"/>
              <w:jc w:val="both"/>
              <w:rPr>
                <w:color w:val="000000" w:themeColor="text1"/>
                <w:sz w:val="20"/>
                <w:szCs w:val="20"/>
              </w:rPr>
            </w:pPr>
            <w:r>
              <w:rPr>
                <w:color w:val="365F91" w:themeColor="accent1" w:themeShade="BF"/>
                <w:sz w:val="20"/>
                <w:szCs w:val="20"/>
              </w:rPr>
              <w:t xml:space="preserve">Jednotný </w:t>
            </w:r>
            <w:r w:rsidR="00A34153" w:rsidRPr="00050E2D">
              <w:rPr>
                <w:color w:val="365F91" w:themeColor="accent1" w:themeShade="BF"/>
                <w:sz w:val="20"/>
                <w:szCs w:val="20"/>
              </w:rPr>
              <w:t xml:space="preserve"> přístup ve všech SC IROP.</w:t>
            </w:r>
          </w:p>
        </w:tc>
      </w:tr>
    </w:tbl>
    <w:p w:rsidR="00022B89" w:rsidRPr="001F692A" w:rsidRDefault="00022B89" w:rsidP="00022B89">
      <w:pPr>
        <w:pStyle w:val="Odstavecseseznamem"/>
        <w:ind w:left="284"/>
        <w:jc w:val="both"/>
        <w:rPr>
          <w:rFonts w:asciiTheme="minorHAnsi" w:hAnsiTheme="minorHAnsi" w:cs="Arial CE"/>
          <w:sz w:val="20"/>
          <w:szCs w:val="20"/>
        </w:rPr>
      </w:pPr>
    </w:p>
    <w:p w:rsidR="00626B3F" w:rsidRDefault="00626B3F" w:rsidP="001F692A">
      <w:pPr>
        <w:rPr>
          <w:rFonts w:asciiTheme="minorHAnsi" w:hAnsiTheme="minorHAnsi"/>
          <w:b/>
          <w:bCs/>
          <w:sz w:val="20"/>
          <w:szCs w:val="20"/>
        </w:rPr>
      </w:pPr>
    </w:p>
    <w:p w:rsidR="00691ABF" w:rsidRPr="001F692A" w:rsidRDefault="006D443E" w:rsidP="001F692A">
      <w:pPr>
        <w:rPr>
          <w:rFonts w:asciiTheme="minorHAnsi" w:hAnsiTheme="minorHAnsi"/>
          <w:sz w:val="20"/>
          <w:szCs w:val="20"/>
        </w:rPr>
      </w:pPr>
      <w:r w:rsidRPr="001F692A">
        <w:rPr>
          <w:rFonts w:asciiTheme="minorHAnsi" w:hAnsiTheme="minorHAnsi"/>
          <w:b/>
          <w:bCs/>
          <w:sz w:val="20"/>
          <w:szCs w:val="20"/>
        </w:rPr>
        <w:t xml:space="preserve">SC 2.4 </w:t>
      </w:r>
      <w:r w:rsidR="00541ABA" w:rsidRPr="001F692A">
        <w:rPr>
          <w:rFonts w:asciiTheme="minorHAnsi" w:hAnsiTheme="minorHAnsi"/>
          <w:b/>
          <w:bCs/>
          <w:sz w:val="20"/>
          <w:szCs w:val="20"/>
        </w:rPr>
        <w:t>p</w:t>
      </w:r>
      <w:r w:rsidR="00691ABF" w:rsidRPr="001F692A">
        <w:rPr>
          <w:rFonts w:asciiTheme="minorHAnsi" w:hAnsiTheme="minorHAnsi"/>
          <w:b/>
          <w:bCs/>
          <w:sz w:val="20"/>
          <w:szCs w:val="20"/>
        </w:rPr>
        <w:t>ředškolní vzdělávání</w:t>
      </w:r>
    </w:p>
    <w:p w:rsidR="00B266C7" w:rsidRDefault="00691ABF" w:rsidP="00B266C7">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 xml:space="preserve">Vlastní zdroje žadatele. </w:t>
      </w:r>
      <w:r w:rsidR="0014660C" w:rsidRPr="001F692A">
        <w:rPr>
          <w:rFonts w:asciiTheme="minorHAnsi" w:hAnsiTheme="minorHAnsi" w:cs="Arial CE"/>
          <w:sz w:val="20"/>
          <w:szCs w:val="20"/>
        </w:rPr>
        <w:t>„</w:t>
      </w:r>
      <w:r w:rsidRPr="001F692A">
        <w:rPr>
          <w:rFonts w:asciiTheme="minorHAnsi" w:hAnsiTheme="minorHAnsi" w:cs="Arial CE"/>
          <w:sz w:val="20"/>
          <w:szCs w:val="20"/>
        </w:rPr>
        <w:t>V současnosti na tento projekt můžeme dosáhnout pouze s podporou ve výši 90 až 95</w:t>
      </w:r>
      <w:r w:rsidR="0048217A">
        <w:rPr>
          <w:rFonts w:asciiTheme="minorHAnsi" w:hAnsiTheme="minorHAnsi" w:cs="Arial CE"/>
          <w:sz w:val="20"/>
          <w:szCs w:val="20"/>
        </w:rPr>
        <w:t xml:space="preserve"> </w:t>
      </w:r>
      <w:r w:rsidRPr="001F692A">
        <w:rPr>
          <w:rFonts w:asciiTheme="minorHAnsi" w:hAnsiTheme="minorHAnsi" w:cs="Arial CE"/>
          <w:sz w:val="20"/>
          <w:szCs w:val="20"/>
        </w:rPr>
        <w:t>%. Jsme obec s 695 obyvateli a již podporujeme základní devítiletou školu a zdravotní středisko. Na investice nám zbývá velmi málo pro</w:t>
      </w:r>
      <w:r w:rsidR="002A64F1" w:rsidRPr="001F692A">
        <w:rPr>
          <w:rFonts w:asciiTheme="minorHAnsi" w:hAnsiTheme="minorHAnsi" w:cs="Arial CE"/>
          <w:sz w:val="20"/>
          <w:szCs w:val="20"/>
        </w:rPr>
        <w:t>s</w:t>
      </w:r>
      <w:r w:rsidRPr="001F692A">
        <w:rPr>
          <w:rFonts w:asciiTheme="minorHAnsi" w:hAnsiTheme="minorHAnsi" w:cs="Arial CE"/>
          <w:sz w:val="20"/>
          <w:szCs w:val="20"/>
        </w:rPr>
        <w:t>tředků.</w:t>
      </w:r>
      <w:r w:rsidR="0014660C" w:rsidRPr="001F692A">
        <w:rPr>
          <w:rFonts w:asciiTheme="minorHAnsi" w:hAnsiTheme="minorHAnsi" w:cs="Arial CE"/>
          <w:sz w:val="20"/>
          <w:szCs w:val="20"/>
        </w:rPr>
        <w:t>“</w:t>
      </w:r>
      <w:r w:rsidRPr="001F692A">
        <w:rPr>
          <w:rFonts w:asciiTheme="minorHAnsi" w:hAnsiTheme="minorHAnsi" w:cs="Arial CE"/>
          <w:sz w:val="20"/>
          <w:szCs w:val="20"/>
        </w:rPr>
        <w:t xml:space="preserve"> </w:t>
      </w:r>
    </w:p>
    <w:p w:rsidR="00984020" w:rsidRDefault="00984020" w:rsidP="00984020">
      <w:pPr>
        <w:pStyle w:val="Odstavecseseznamem"/>
        <w:ind w:left="284"/>
        <w:jc w:val="both"/>
        <w:rPr>
          <w:rFonts w:asciiTheme="minorHAnsi" w:hAnsiTheme="minorHAnsi" w:cs="Arial CE"/>
          <w:sz w:val="20"/>
          <w:szCs w:val="20"/>
        </w:rPr>
      </w:pPr>
    </w:p>
    <w:p w:rsidR="00B266C7" w:rsidRPr="00B266C7" w:rsidRDefault="00B266C7" w:rsidP="00B266C7">
      <w:pPr>
        <w:pStyle w:val="Odstavecseseznamem"/>
        <w:ind w:left="284"/>
        <w:jc w:val="both"/>
        <w:rPr>
          <w:rFonts w:asciiTheme="minorHAnsi" w:hAnsiTheme="minorHAnsi" w:cs="Arial CE"/>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Pr="00050E2D" w:rsidRDefault="0048217A" w:rsidP="000E5987">
            <w:pPr>
              <w:pStyle w:val="Odstavecseseznamem"/>
              <w:ind w:left="0"/>
              <w:jc w:val="both"/>
              <w:rPr>
                <w:color w:val="365F91" w:themeColor="accent1" w:themeShade="BF"/>
                <w:sz w:val="20"/>
                <w:szCs w:val="20"/>
              </w:rPr>
            </w:pPr>
            <w:r w:rsidRPr="00050E2D">
              <w:rPr>
                <w:color w:val="365F91" w:themeColor="accent1" w:themeShade="BF"/>
                <w:sz w:val="20"/>
                <w:szCs w:val="20"/>
              </w:rPr>
              <w:t>E</w:t>
            </w:r>
            <w:r w:rsidR="00F91107" w:rsidRPr="00050E2D">
              <w:rPr>
                <w:color w:val="365F91" w:themeColor="accent1" w:themeShade="BF"/>
                <w:sz w:val="20"/>
                <w:szCs w:val="20"/>
              </w:rPr>
              <w:t>x-post financování je nastaven</w:t>
            </w:r>
            <w:r w:rsidRPr="00050E2D">
              <w:rPr>
                <w:color w:val="365F91" w:themeColor="accent1" w:themeShade="BF"/>
                <w:sz w:val="20"/>
                <w:szCs w:val="20"/>
              </w:rPr>
              <w:t>o</w:t>
            </w:r>
            <w:r w:rsidR="00F91107" w:rsidRPr="00050E2D">
              <w:rPr>
                <w:color w:val="365F91" w:themeColor="accent1" w:themeShade="BF"/>
                <w:sz w:val="20"/>
                <w:szCs w:val="20"/>
              </w:rPr>
              <w:t xml:space="preserve"> pro celý IROP. </w:t>
            </w:r>
            <w:r w:rsidRPr="00050E2D">
              <w:rPr>
                <w:color w:val="365F91" w:themeColor="accent1" w:themeShade="BF"/>
                <w:sz w:val="20"/>
                <w:szCs w:val="20"/>
              </w:rPr>
              <w:t>Ž</w:t>
            </w:r>
            <w:r w:rsidR="005E537C" w:rsidRPr="00050E2D">
              <w:rPr>
                <w:color w:val="365F91" w:themeColor="accent1" w:themeShade="BF"/>
                <w:sz w:val="20"/>
                <w:szCs w:val="20"/>
              </w:rPr>
              <w:t>adatelé</w:t>
            </w:r>
            <w:r w:rsidR="00EF092D" w:rsidRPr="00050E2D">
              <w:rPr>
                <w:color w:val="365F91" w:themeColor="accent1" w:themeShade="BF"/>
                <w:sz w:val="20"/>
                <w:szCs w:val="20"/>
              </w:rPr>
              <w:t xml:space="preserve"> </w:t>
            </w:r>
            <w:r w:rsidR="005E537C" w:rsidRPr="00050E2D">
              <w:rPr>
                <w:color w:val="365F91" w:themeColor="accent1" w:themeShade="BF"/>
                <w:sz w:val="20"/>
                <w:szCs w:val="20"/>
              </w:rPr>
              <w:t>mají možnost realizovat projekty po etapách a faktury dokládat za jednotlivé etapy</w:t>
            </w:r>
            <w:r w:rsidRPr="00050E2D">
              <w:rPr>
                <w:color w:val="365F91" w:themeColor="accent1" w:themeShade="BF"/>
                <w:sz w:val="20"/>
                <w:szCs w:val="20"/>
              </w:rPr>
              <w:t>.</w:t>
            </w:r>
            <w:r w:rsidR="005E537C" w:rsidRPr="00050E2D">
              <w:rPr>
                <w:color w:val="365F91" w:themeColor="accent1" w:themeShade="BF"/>
                <w:sz w:val="20"/>
                <w:szCs w:val="20"/>
              </w:rPr>
              <w:t xml:space="preserve"> </w:t>
            </w:r>
            <w:r w:rsidRPr="00050E2D">
              <w:rPr>
                <w:color w:val="365F91" w:themeColor="accent1" w:themeShade="BF"/>
                <w:sz w:val="20"/>
                <w:szCs w:val="20"/>
              </w:rPr>
              <w:t>N</w:t>
            </w:r>
            <w:r w:rsidR="005E537C" w:rsidRPr="00050E2D">
              <w:rPr>
                <w:color w:val="365F91" w:themeColor="accent1" w:themeShade="BF"/>
                <w:sz w:val="20"/>
                <w:szCs w:val="20"/>
              </w:rPr>
              <w:t xml:space="preserve">emusí čekat až na proplacení celé dotace po konci realizace projektu. </w:t>
            </w:r>
            <w:r w:rsidRPr="00050E2D">
              <w:rPr>
                <w:color w:val="365F91" w:themeColor="accent1" w:themeShade="BF"/>
                <w:sz w:val="20"/>
                <w:szCs w:val="20"/>
              </w:rPr>
              <w:t>E</w:t>
            </w:r>
            <w:r w:rsidR="00626B3F" w:rsidRPr="00050E2D">
              <w:rPr>
                <w:color w:val="365F91" w:themeColor="accent1" w:themeShade="BF"/>
                <w:sz w:val="20"/>
                <w:szCs w:val="20"/>
              </w:rPr>
              <w:t>tapy mohou být min</w:t>
            </w:r>
            <w:r w:rsidRPr="00050E2D">
              <w:rPr>
                <w:color w:val="365F91" w:themeColor="accent1" w:themeShade="BF"/>
                <w:sz w:val="20"/>
                <w:szCs w:val="20"/>
              </w:rPr>
              <w:t>imálně</w:t>
            </w:r>
            <w:r w:rsidR="00626B3F" w:rsidRPr="00050E2D">
              <w:rPr>
                <w:color w:val="365F91" w:themeColor="accent1" w:themeShade="BF"/>
                <w:sz w:val="20"/>
                <w:szCs w:val="20"/>
              </w:rPr>
              <w:t xml:space="preserve"> tř</w:t>
            </w:r>
            <w:r w:rsidRPr="00050E2D">
              <w:rPr>
                <w:color w:val="365F91" w:themeColor="accent1" w:themeShade="BF"/>
                <w:sz w:val="20"/>
                <w:szCs w:val="20"/>
              </w:rPr>
              <w:t>í</w:t>
            </w:r>
            <w:r w:rsidR="00626B3F" w:rsidRPr="00050E2D">
              <w:rPr>
                <w:color w:val="365F91" w:themeColor="accent1" w:themeShade="BF"/>
                <w:sz w:val="20"/>
                <w:szCs w:val="20"/>
              </w:rPr>
              <w:t>měsí</w:t>
            </w:r>
            <w:r w:rsidRPr="00050E2D">
              <w:rPr>
                <w:color w:val="365F91" w:themeColor="accent1" w:themeShade="BF"/>
                <w:sz w:val="20"/>
                <w:szCs w:val="20"/>
              </w:rPr>
              <w:t>čn</w:t>
            </w:r>
            <w:r w:rsidR="00626B3F" w:rsidRPr="00050E2D">
              <w:rPr>
                <w:color w:val="365F91" w:themeColor="accent1" w:themeShade="BF"/>
                <w:sz w:val="20"/>
                <w:szCs w:val="20"/>
              </w:rPr>
              <w:t>í, po ukončení etapy předloží</w:t>
            </w:r>
            <w:r w:rsidRPr="00050E2D">
              <w:rPr>
                <w:color w:val="365F91" w:themeColor="accent1" w:themeShade="BF"/>
                <w:sz w:val="20"/>
                <w:szCs w:val="20"/>
              </w:rPr>
              <w:t xml:space="preserve"> příjemce</w:t>
            </w:r>
            <w:r w:rsidR="00626B3F" w:rsidRPr="00050E2D">
              <w:rPr>
                <w:color w:val="365F91" w:themeColor="accent1" w:themeShade="BF"/>
                <w:sz w:val="20"/>
                <w:szCs w:val="20"/>
              </w:rPr>
              <w:t xml:space="preserve"> žádost o platbu.</w:t>
            </w:r>
          </w:p>
        </w:tc>
      </w:tr>
    </w:tbl>
    <w:p w:rsidR="00B266C7" w:rsidRPr="001F692A" w:rsidRDefault="00B266C7" w:rsidP="00B266C7">
      <w:pPr>
        <w:pStyle w:val="Odstavecseseznamem"/>
        <w:ind w:left="284"/>
        <w:jc w:val="both"/>
        <w:rPr>
          <w:rFonts w:asciiTheme="minorHAnsi" w:hAnsiTheme="minorHAnsi" w:cs="Arial CE"/>
          <w:sz w:val="20"/>
          <w:szCs w:val="20"/>
        </w:rPr>
      </w:pPr>
    </w:p>
    <w:p w:rsidR="00B266C7" w:rsidRDefault="0014660C" w:rsidP="00B266C7">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w:t>
      </w:r>
      <w:r w:rsidR="00691ABF" w:rsidRPr="001F692A">
        <w:rPr>
          <w:rFonts w:asciiTheme="minorHAnsi" w:hAnsiTheme="minorHAnsi" w:cs="Arial CE"/>
          <w:sz w:val="20"/>
          <w:szCs w:val="20"/>
        </w:rPr>
        <w:t>Naše ORP není zařazeno mezi sociálně vyloučené lokality. Značná část výzev se nás tedy nemůže týkat. Pokud tomu dobře rozumím, tak je výzva č. 14 podmíněna zvyšováním kapacit daných zařízení pro předškolní vzdělávání. To je zásadní problém. Tato podpora měla být cca před 5 lety. Dnes již není aktuální. Kapacity zařízení pro menší děti jsou již dostatečné. Bylo by však třeba je zkvalitňovat (stávající) a nikoliv rozšiřovat. Proto tedy ve skutečnosti náš záměr nemůžeme ani zpracovat (není racionální podat žádost o</w:t>
      </w:r>
      <w:r w:rsidR="001F692A" w:rsidRPr="001F692A">
        <w:rPr>
          <w:rFonts w:asciiTheme="minorHAnsi" w:hAnsiTheme="minorHAnsi" w:cs="Arial CE"/>
          <w:sz w:val="20"/>
          <w:szCs w:val="20"/>
        </w:rPr>
        <w:t> </w:t>
      </w:r>
      <w:r w:rsidR="00691ABF" w:rsidRPr="001F692A">
        <w:rPr>
          <w:rFonts w:asciiTheme="minorHAnsi" w:hAnsiTheme="minorHAnsi" w:cs="Arial CE"/>
          <w:sz w:val="20"/>
          <w:szCs w:val="20"/>
        </w:rPr>
        <w:t>poskytnutí dotace EU)."</w:t>
      </w:r>
    </w:p>
    <w:p w:rsidR="00984020" w:rsidRDefault="00984020" w:rsidP="00984020">
      <w:pPr>
        <w:pStyle w:val="Odstavecseseznamem"/>
        <w:ind w:left="284"/>
        <w:jc w:val="both"/>
        <w:rPr>
          <w:rFonts w:asciiTheme="minorHAnsi" w:hAnsiTheme="minorHAnsi" w:cs="Arial CE"/>
          <w:sz w:val="20"/>
          <w:szCs w:val="20"/>
        </w:rPr>
      </w:pPr>
    </w:p>
    <w:p w:rsidR="00B266C7" w:rsidRPr="00B266C7" w:rsidRDefault="00B266C7" w:rsidP="00B266C7">
      <w:pPr>
        <w:pStyle w:val="Odstavecseseznamem"/>
        <w:ind w:left="284"/>
        <w:jc w:val="both"/>
        <w:rPr>
          <w:rFonts w:asciiTheme="minorHAnsi" w:hAnsiTheme="minorHAnsi" w:cs="Arial CE"/>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Pr="00050E2D" w:rsidRDefault="00EF092D" w:rsidP="00930A5D">
            <w:pPr>
              <w:pStyle w:val="Odstavecseseznamem"/>
              <w:ind w:left="0"/>
              <w:jc w:val="both"/>
              <w:rPr>
                <w:color w:val="365F91" w:themeColor="accent1" w:themeShade="BF"/>
                <w:sz w:val="20"/>
                <w:szCs w:val="20"/>
              </w:rPr>
            </w:pPr>
            <w:r w:rsidRPr="00050E2D">
              <w:rPr>
                <w:color w:val="365F91" w:themeColor="accent1" w:themeShade="BF"/>
                <w:sz w:val="20"/>
                <w:szCs w:val="20"/>
              </w:rPr>
              <w:t>V</w:t>
            </w:r>
            <w:r w:rsidR="006E2960" w:rsidRPr="00050E2D">
              <w:rPr>
                <w:color w:val="365F91" w:themeColor="accent1" w:themeShade="BF"/>
                <w:sz w:val="20"/>
                <w:szCs w:val="20"/>
              </w:rPr>
              <w:t xml:space="preserve">ždy </w:t>
            </w:r>
            <w:r w:rsidR="0048217A" w:rsidRPr="00050E2D">
              <w:rPr>
                <w:color w:val="365F91" w:themeColor="accent1" w:themeShade="BF"/>
                <w:sz w:val="20"/>
                <w:szCs w:val="20"/>
              </w:rPr>
              <w:t xml:space="preserve">jsou </w:t>
            </w:r>
            <w:r w:rsidR="006E2960" w:rsidRPr="00050E2D">
              <w:rPr>
                <w:color w:val="365F91" w:themeColor="accent1" w:themeShade="BF"/>
                <w:sz w:val="20"/>
                <w:szCs w:val="20"/>
              </w:rPr>
              <w:t>vyhlašovány na stejné aktivity výzv</w:t>
            </w:r>
            <w:r w:rsidR="0048217A" w:rsidRPr="00050E2D">
              <w:rPr>
                <w:color w:val="365F91" w:themeColor="accent1" w:themeShade="BF"/>
                <w:sz w:val="20"/>
                <w:szCs w:val="20"/>
              </w:rPr>
              <w:t>y</w:t>
            </w:r>
            <w:r w:rsidR="006E2960" w:rsidRPr="00050E2D">
              <w:rPr>
                <w:color w:val="365F91" w:themeColor="accent1" w:themeShade="BF"/>
                <w:sz w:val="20"/>
                <w:szCs w:val="20"/>
              </w:rPr>
              <w:t xml:space="preserve">, </w:t>
            </w:r>
            <w:r w:rsidR="001F3A35" w:rsidRPr="00050E2D">
              <w:rPr>
                <w:color w:val="365F91" w:themeColor="accent1" w:themeShade="BF"/>
                <w:sz w:val="20"/>
                <w:szCs w:val="20"/>
              </w:rPr>
              <w:t>určen</w:t>
            </w:r>
            <w:r w:rsidR="0048217A" w:rsidRPr="00050E2D">
              <w:rPr>
                <w:color w:val="365F91" w:themeColor="accent1" w:themeShade="BF"/>
                <w:sz w:val="20"/>
                <w:szCs w:val="20"/>
              </w:rPr>
              <w:t>é</w:t>
            </w:r>
            <w:r w:rsidR="001F3A35" w:rsidRPr="00050E2D">
              <w:rPr>
                <w:color w:val="365F91" w:themeColor="accent1" w:themeShade="BF"/>
                <w:sz w:val="20"/>
                <w:szCs w:val="20"/>
              </w:rPr>
              <w:t xml:space="preserve"> pro správní obvody ORP bez sociálně vyloučené lokality. Příkladem jsou výzvy č. 11 a 12</w:t>
            </w:r>
            <w:r w:rsidR="00E91223" w:rsidRPr="00050E2D">
              <w:rPr>
                <w:color w:val="365F91" w:themeColor="accent1" w:themeShade="BF"/>
                <w:sz w:val="20"/>
                <w:szCs w:val="20"/>
              </w:rPr>
              <w:t xml:space="preserve"> (sociální podnikání)</w:t>
            </w:r>
            <w:r w:rsidR="001F3A35" w:rsidRPr="00050E2D">
              <w:rPr>
                <w:color w:val="365F91" w:themeColor="accent1" w:themeShade="BF"/>
                <w:sz w:val="20"/>
                <w:szCs w:val="20"/>
              </w:rPr>
              <w:t>; 14 a 15</w:t>
            </w:r>
            <w:r w:rsidR="00E91223" w:rsidRPr="00050E2D">
              <w:rPr>
                <w:color w:val="365F91" w:themeColor="accent1" w:themeShade="BF"/>
                <w:sz w:val="20"/>
                <w:szCs w:val="20"/>
              </w:rPr>
              <w:t xml:space="preserve"> (školství); 25 a 29 (sociální bydlení</w:t>
            </w:r>
            <w:r w:rsidR="007B4325" w:rsidRPr="00050E2D">
              <w:rPr>
                <w:color w:val="365F91" w:themeColor="accent1" w:themeShade="BF"/>
                <w:sz w:val="20"/>
                <w:szCs w:val="20"/>
              </w:rPr>
              <w:t>, plánováno na konec února 2016)</w:t>
            </w:r>
            <w:r w:rsidR="001F3A35" w:rsidRPr="00050E2D">
              <w:rPr>
                <w:color w:val="365F91" w:themeColor="accent1" w:themeShade="BF"/>
                <w:sz w:val="20"/>
                <w:szCs w:val="20"/>
              </w:rPr>
              <w:t>.</w:t>
            </w:r>
            <w:r w:rsidR="007B4325" w:rsidRPr="00050E2D">
              <w:rPr>
                <w:color w:val="365F91" w:themeColor="accent1" w:themeShade="BF"/>
                <w:sz w:val="20"/>
                <w:szCs w:val="20"/>
              </w:rPr>
              <w:t xml:space="preserve"> </w:t>
            </w:r>
          </w:p>
          <w:p w:rsidR="007B4325" w:rsidRPr="00626B3F" w:rsidRDefault="0048217A" w:rsidP="0048217A">
            <w:pPr>
              <w:pStyle w:val="Odstavecseseznamem"/>
              <w:ind w:left="0"/>
              <w:jc w:val="both"/>
              <w:rPr>
                <w:color w:val="0070C0"/>
                <w:sz w:val="20"/>
                <w:szCs w:val="20"/>
              </w:rPr>
            </w:pPr>
            <w:r w:rsidRPr="00050E2D">
              <w:rPr>
                <w:color w:val="365F91" w:themeColor="accent1" w:themeShade="BF"/>
                <w:sz w:val="20"/>
                <w:szCs w:val="20"/>
              </w:rPr>
              <w:t>P</w:t>
            </w:r>
            <w:r w:rsidR="00C83315" w:rsidRPr="00050E2D">
              <w:rPr>
                <w:color w:val="365F91" w:themeColor="accent1" w:themeShade="BF"/>
                <w:sz w:val="20"/>
                <w:szCs w:val="20"/>
              </w:rPr>
              <w:t xml:space="preserve">odmínkou </w:t>
            </w:r>
            <w:r w:rsidRPr="00050E2D">
              <w:rPr>
                <w:color w:val="365F91" w:themeColor="accent1" w:themeShade="BF"/>
                <w:sz w:val="20"/>
                <w:szCs w:val="20"/>
              </w:rPr>
              <w:t>podpory ve v</w:t>
            </w:r>
            <w:r w:rsidR="00C83315" w:rsidRPr="00050E2D">
              <w:rPr>
                <w:color w:val="365F91" w:themeColor="accent1" w:themeShade="BF"/>
                <w:sz w:val="20"/>
                <w:szCs w:val="20"/>
              </w:rPr>
              <w:t>ýzv</w:t>
            </w:r>
            <w:r w:rsidRPr="00050E2D">
              <w:rPr>
                <w:color w:val="365F91" w:themeColor="accent1" w:themeShade="BF"/>
                <w:sz w:val="20"/>
                <w:szCs w:val="20"/>
              </w:rPr>
              <w:t>ě</w:t>
            </w:r>
            <w:r w:rsidR="00C83315" w:rsidRPr="00050E2D">
              <w:rPr>
                <w:color w:val="365F91" w:themeColor="accent1" w:themeShade="BF"/>
                <w:sz w:val="20"/>
                <w:szCs w:val="20"/>
              </w:rPr>
              <w:t xml:space="preserve"> č. 14 je </w:t>
            </w:r>
            <w:r w:rsidRPr="00050E2D">
              <w:rPr>
                <w:color w:val="365F91" w:themeColor="accent1" w:themeShade="BF"/>
                <w:sz w:val="20"/>
                <w:szCs w:val="20"/>
              </w:rPr>
              <w:t>z</w:t>
            </w:r>
            <w:r w:rsidR="00C83315" w:rsidRPr="00050E2D">
              <w:rPr>
                <w:color w:val="365F91" w:themeColor="accent1" w:themeShade="BF"/>
                <w:sz w:val="20"/>
                <w:szCs w:val="20"/>
              </w:rPr>
              <w:t xml:space="preserve">výšení kapacit </w:t>
            </w:r>
            <w:r w:rsidRPr="00050E2D">
              <w:rPr>
                <w:color w:val="365F91" w:themeColor="accent1" w:themeShade="BF"/>
                <w:sz w:val="20"/>
                <w:szCs w:val="20"/>
              </w:rPr>
              <w:t>po</w:t>
            </w:r>
            <w:r w:rsidR="00C83315" w:rsidRPr="00050E2D">
              <w:rPr>
                <w:color w:val="365F91" w:themeColor="accent1" w:themeShade="BF"/>
                <w:sz w:val="20"/>
                <w:szCs w:val="20"/>
              </w:rPr>
              <w:t xml:space="preserve">dle potřeb v území. </w:t>
            </w:r>
            <w:r w:rsidRPr="00050E2D">
              <w:rPr>
                <w:color w:val="365F91" w:themeColor="accent1" w:themeShade="BF"/>
                <w:sz w:val="20"/>
                <w:szCs w:val="20"/>
              </w:rPr>
              <w:t>P</w:t>
            </w:r>
            <w:r w:rsidR="001551D5" w:rsidRPr="00050E2D">
              <w:rPr>
                <w:color w:val="365F91" w:themeColor="accent1" w:themeShade="BF"/>
                <w:sz w:val="20"/>
                <w:szCs w:val="20"/>
              </w:rPr>
              <w:t xml:space="preserve">rimárním záměrem není podpora rekonstrukce objektů z důvodu špatného technického stavu objektu bez </w:t>
            </w:r>
            <w:r w:rsidRPr="00050E2D">
              <w:rPr>
                <w:color w:val="365F91" w:themeColor="accent1" w:themeShade="BF"/>
                <w:sz w:val="20"/>
                <w:szCs w:val="20"/>
              </w:rPr>
              <w:t>z</w:t>
            </w:r>
            <w:r w:rsidR="001551D5" w:rsidRPr="00050E2D">
              <w:rPr>
                <w:color w:val="365F91" w:themeColor="accent1" w:themeShade="BF"/>
                <w:sz w:val="20"/>
                <w:szCs w:val="20"/>
              </w:rPr>
              <w:t>výšení kapacity podporovaného zařízení.</w:t>
            </w:r>
            <w:r w:rsidR="001551D5" w:rsidRPr="00626B3F">
              <w:rPr>
                <w:color w:val="0070C0"/>
                <w:sz w:val="20"/>
                <w:szCs w:val="20"/>
              </w:rPr>
              <w:t xml:space="preserve">  </w:t>
            </w:r>
            <w:r w:rsidR="00C83315" w:rsidRPr="00626B3F">
              <w:rPr>
                <w:color w:val="0070C0"/>
                <w:sz w:val="20"/>
                <w:szCs w:val="20"/>
              </w:rPr>
              <w:t xml:space="preserve">  </w:t>
            </w:r>
          </w:p>
        </w:tc>
      </w:tr>
    </w:tbl>
    <w:p w:rsidR="00B266C7" w:rsidRDefault="00B266C7" w:rsidP="00B266C7">
      <w:pPr>
        <w:pStyle w:val="Odstavecseseznamem"/>
        <w:ind w:left="284"/>
        <w:jc w:val="both"/>
        <w:rPr>
          <w:rFonts w:asciiTheme="minorHAnsi" w:hAnsiTheme="minorHAnsi" w:cs="Arial CE"/>
          <w:sz w:val="20"/>
          <w:szCs w:val="20"/>
        </w:rPr>
      </w:pPr>
    </w:p>
    <w:p w:rsidR="00B266C7" w:rsidRDefault="00691ABF" w:rsidP="00B266C7">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lastRenderedPageBreak/>
        <w:t>Problémem je zajistit bezbariérový přístup do nově vestavěných prostor. Nabízí se pouze řešení instalovat na vnější stěnu budovy výtah, což je však finančně nákladné, ekonomicky nevýhodné a pro potřeby mateřské školy naprosto zbytečné. Do stávajících přízemních prostor lze</w:t>
      </w:r>
      <w:r w:rsidR="00B266C7">
        <w:rPr>
          <w:rFonts w:asciiTheme="minorHAnsi" w:hAnsiTheme="minorHAnsi" w:cs="Arial CE"/>
          <w:sz w:val="20"/>
          <w:szCs w:val="20"/>
        </w:rPr>
        <w:t xml:space="preserve"> bezbariérový přístup zajistit.</w:t>
      </w:r>
    </w:p>
    <w:p w:rsidR="00984020" w:rsidRDefault="00984020" w:rsidP="00984020">
      <w:pPr>
        <w:pStyle w:val="Odstavecseseznamem"/>
        <w:ind w:left="284"/>
        <w:jc w:val="both"/>
        <w:rPr>
          <w:rFonts w:asciiTheme="minorHAnsi" w:hAnsiTheme="minorHAnsi" w:cs="Arial CE"/>
          <w:sz w:val="20"/>
          <w:szCs w:val="20"/>
        </w:rPr>
      </w:pPr>
    </w:p>
    <w:p w:rsidR="00B266C7" w:rsidRPr="00B266C7" w:rsidRDefault="00B266C7" w:rsidP="00B266C7">
      <w:pPr>
        <w:pStyle w:val="Odstavecseseznamem"/>
        <w:ind w:left="284"/>
        <w:jc w:val="both"/>
        <w:rPr>
          <w:rFonts w:asciiTheme="minorHAnsi" w:hAnsiTheme="minorHAnsi" w:cs="Arial CE"/>
          <w:sz w:val="20"/>
          <w:szCs w:val="20"/>
        </w:rPr>
      </w:pPr>
      <w:r w:rsidRPr="00B266C7">
        <w:rPr>
          <w:b/>
          <w:color w:val="000000" w:themeColor="text1"/>
          <w:sz w:val="20"/>
          <w:szCs w:val="20"/>
        </w:rPr>
        <w:t>Reakce ŘO IROP</w:t>
      </w:r>
    </w:p>
    <w:tbl>
      <w:tblPr>
        <w:tblStyle w:val="Mkatabulky"/>
        <w:tblW w:w="0" w:type="auto"/>
        <w:tblInd w:w="392" w:type="dxa"/>
        <w:tblLook w:val="04A0"/>
      </w:tblPr>
      <w:tblGrid>
        <w:gridCol w:w="8896"/>
      </w:tblGrid>
      <w:tr w:rsidR="00B266C7" w:rsidTr="00930A5D">
        <w:tc>
          <w:tcPr>
            <w:tcW w:w="8896" w:type="dxa"/>
          </w:tcPr>
          <w:p w:rsidR="00B266C7" w:rsidRPr="00050E2D" w:rsidRDefault="00C34F5A" w:rsidP="00B84CD2">
            <w:pPr>
              <w:pStyle w:val="Odstavecseseznamem"/>
              <w:ind w:left="0"/>
              <w:jc w:val="both"/>
              <w:rPr>
                <w:color w:val="365F91" w:themeColor="accent1" w:themeShade="BF"/>
                <w:sz w:val="20"/>
                <w:szCs w:val="20"/>
              </w:rPr>
            </w:pPr>
            <w:r w:rsidRPr="00050E2D">
              <w:rPr>
                <w:color w:val="365F91" w:themeColor="accent1" w:themeShade="BF"/>
                <w:sz w:val="20"/>
                <w:szCs w:val="20"/>
              </w:rPr>
              <w:t>Nově upravené</w:t>
            </w:r>
            <w:r w:rsidR="00B84CD2" w:rsidRPr="00050E2D">
              <w:rPr>
                <w:color w:val="365F91" w:themeColor="accent1" w:themeShade="BF"/>
                <w:sz w:val="20"/>
                <w:szCs w:val="20"/>
              </w:rPr>
              <w:t xml:space="preserve"> a </w:t>
            </w:r>
            <w:r w:rsidRPr="00050E2D">
              <w:rPr>
                <w:color w:val="365F91" w:themeColor="accent1" w:themeShade="BF"/>
                <w:sz w:val="20"/>
                <w:szCs w:val="20"/>
              </w:rPr>
              <w:t>vybavené prostory musí být bezbariérové a fyzicky dostupné</w:t>
            </w:r>
            <w:r w:rsidR="008D7306" w:rsidRPr="00050E2D">
              <w:rPr>
                <w:color w:val="365F91" w:themeColor="accent1" w:themeShade="BF"/>
                <w:sz w:val="20"/>
                <w:szCs w:val="20"/>
              </w:rPr>
              <w:t xml:space="preserve">. </w:t>
            </w:r>
            <w:r w:rsidR="00B84CD2" w:rsidRPr="00050E2D">
              <w:rPr>
                <w:color w:val="365F91" w:themeColor="accent1" w:themeShade="BF"/>
                <w:sz w:val="20"/>
                <w:szCs w:val="20"/>
              </w:rPr>
              <w:t>Jedná se o</w:t>
            </w:r>
            <w:r w:rsidRPr="00050E2D">
              <w:rPr>
                <w:color w:val="365F91" w:themeColor="accent1" w:themeShade="BF"/>
                <w:sz w:val="20"/>
                <w:szCs w:val="20"/>
              </w:rPr>
              <w:t xml:space="preserve"> hlavní podporovan</w:t>
            </w:r>
            <w:r w:rsidR="00B84CD2" w:rsidRPr="00050E2D">
              <w:rPr>
                <w:color w:val="365F91" w:themeColor="accent1" w:themeShade="BF"/>
                <w:sz w:val="20"/>
                <w:szCs w:val="20"/>
              </w:rPr>
              <w:t>é</w:t>
            </w:r>
            <w:r w:rsidRPr="00050E2D">
              <w:rPr>
                <w:color w:val="365F91" w:themeColor="accent1" w:themeShade="BF"/>
                <w:sz w:val="20"/>
                <w:szCs w:val="20"/>
              </w:rPr>
              <w:t xml:space="preserve"> aktivit</w:t>
            </w:r>
            <w:r w:rsidR="00B84CD2" w:rsidRPr="00050E2D">
              <w:rPr>
                <w:color w:val="365F91" w:themeColor="accent1" w:themeShade="BF"/>
                <w:sz w:val="20"/>
                <w:szCs w:val="20"/>
              </w:rPr>
              <w:t>y</w:t>
            </w:r>
            <w:r w:rsidRPr="00050E2D">
              <w:rPr>
                <w:color w:val="365F91" w:themeColor="accent1" w:themeShade="BF"/>
                <w:sz w:val="20"/>
                <w:szCs w:val="20"/>
              </w:rPr>
              <w:t xml:space="preserve"> a způsobil</w:t>
            </w:r>
            <w:r w:rsidR="00B84CD2" w:rsidRPr="00050E2D">
              <w:rPr>
                <w:color w:val="365F91" w:themeColor="accent1" w:themeShade="BF"/>
                <w:sz w:val="20"/>
                <w:szCs w:val="20"/>
              </w:rPr>
              <w:t>é</w:t>
            </w:r>
            <w:r w:rsidRPr="00050E2D">
              <w:rPr>
                <w:color w:val="365F91" w:themeColor="accent1" w:themeShade="BF"/>
                <w:sz w:val="20"/>
                <w:szCs w:val="20"/>
              </w:rPr>
              <w:t xml:space="preserve"> výdaje. </w:t>
            </w:r>
            <w:r w:rsidR="00B84CD2" w:rsidRPr="00050E2D">
              <w:rPr>
                <w:color w:val="365F91" w:themeColor="accent1" w:themeShade="BF"/>
                <w:sz w:val="20"/>
                <w:szCs w:val="20"/>
              </w:rPr>
              <w:t>Ř</w:t>
            </w:r>
            <w:r w:rsidR="00244D31" w:rsidRPr="00050E2D">
              <w:rPr>
                <w:color w:val="365F91" w:themeColor="accent1" w:themeShade="BF"/>
                <w:sz w:val="20"/>
                <w:szCs w:val="20"/>
              </w:rPr>
              <w:t>ešen</w:t>
            </w:r>
            <w:r w:rsidR="00B84CD2" w:rsidRPr="00050E2D">
              <w:rPr>
                <w:color w:val="365F91" w:themeColor="accent1" w:themeShade="BF"/>
                <w:sz w:val="20"/>
                <w:szCs w:val="20"/>
              </w:rPr>
              <w:t>í</w:t>
            </w:r>
            <w:r w:rsidR="00244D31" w:rsidRPr="00050E2D">
              <w:rPr>
                <w:color w:val="365F91" w:themeColor="accent1" w:themeShade="BF"/>
                <w:sz w:val="20"/>
                <w:szCs w:val="20"/>
              </w:rPr>
              <w:t xml:space="preserve"> bezbariérovost</w:t>
            </w:r>
            <w:r w:rsidR="00B84CD2" w:rsidRPr="00050E2D">
              <w:rPr>
                <w:color w:val="365F91" w:themeColor="accent1" w:themeShade="BF"/>
                <w:sz w:val="20"/>
                <w:szCs w:val="20"/>
              </w:rPr>
              <w:t>i</w:t>
            </w:r>
            <w:r w:rsidR="00244D31" w:rsidRPr="00050E2D">
              <w:rPr>
                <w:color w:val="365F91" w:themeColor="accent1" w:themeShade="BF"/>
                <w:sz w:val="20"/>
                <w:szCs w:val="20"/>
              </w:rPr>
              <w:t xml:space="preserve"> popisuje žadatel ve Studii proveditelnosti.</w:t>
            </w:r>
          </w:p>
        </w:tc>
      </w:tr>
    </w:tbl>
    <w:p w:rsidR="00B266C7" w:rsidRDefault="00B266C7" w:rsidP="00B266C7">
      <w:pPr>
        <w:pStyle w:val="Odstavecseseznamem"/>
        <w:ind w:left="284"/>
        <w:jc w:val="both"/>
        <w:rPr>
          <w:rFonts w:asciiTheme="minorHAnsi" w:hAnsiTheme="minorHAnsi" w:cs="Arial CE"/>
          <w:sz w:val="20"/>
          <w:szCs w:val="20"/>
        </w:rPr>
      </w:pPr>
    </w:p>
    <w:p w:rsidR="0040315B" w:rsidRDefault="00691ABF" w:rsidP="0040315B">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Snažíme se zapojit do všech vyhlášených programů a projektů, nej</w:t>
      </w:r>
      <w:r w:rsidR="002A64F1" w:rsidRPr="001F692A">
        <w:rPr>
          <w:rFonts w:asciiTheme="minorHAnsi" w:hAnsiTheme="minorHAnsi" w:cs="Arial CE"/>
          <w:sz w:val="20"/>
          <w:szCs w:val="20"/>
        </w:rPr>
        <w:t>sme zpětně seznámeni</w:t>
      </w:r>
      <w:r w:rsidR="001F692A" w:rsidRPr="001F692A">
        <w:rPr>
          <w:rFonts w:asciiTheme="minorHAnsi" w:hAnsiTheme="minorHAnsi" w:cs="Arial CE"/>
          <w:sz w:val="20"/>
          <w:szCs w:val="20"/>
        </w:rPr>
        <w:t>,</w:t>
      </w:r>
      <w:r w:rsidR="002A64F1" w:rsidRPr="001F692A">
        <w:rPr>
          <w:rFonts w:asciiTheme="minorHAnsi" w:hAnsiTheme="minorHAnsi" w:cs="Arial CE"/>
          <w:sz w:val="20"/>
          <w:szCs w:val="20"/>
        </w:rPr>
        <w:t xml:space="preserve"> proč nesplň</w:t>
      </w:r>
      <w:r w:rsidRPr="001F692A">
        <w:rPr>
          <w:rFonts w:asciiTheme="minorHAnsi" w:hAnsiTheme="minorHAnsi" w:cs="Arial CE"/>
          <w:sz w:val="20"/>
          <w:szCs w:val="20"/>
        </w:rPr>
        <w:t>ujeme kritéria. Chybí zpětná vazba.</w:t>
      </w:r>
    </w:p>
    <w:p w:rsidR="00984020" w:rsidRDefault="00984020" w:rsidP="00984020">
      <w:pPr>
        <w:pStyle w:val="Odstavecseseznamem"/>
        <w:ind w:left="284"/>
        <w:jc w:val="both"/>
        <w:rPr>
          <w:rFonts w:asciiTheme="minorHAnsi" w:hAnsiTheme="minorHAnsi" w:cs="Arial CE"/>
          <w:sz w:val="20"/>
          <w:szCs w:val="20"/>
        </w:rPr>
      </w:pPr>
    </w:p>
    <w:p w:rsidR="0040315B" w:rsidRPr="00626B3F" w:rsidRDefault="0040315B" w:rsidP="0040315B">
      <w:pPr>
        <w:pStyle w:val="Odstavecseseznamem"/>
        <w:ind w:left="284"/>
        <w:jc w:val="both"/>
        <w:rPr>
          <w:rFonts w:asciiTheme="minorHAnsi" w:hAnsiTheme="minorHAnsi" w:cs="Arial CE"/>
          <w:sz w:val="20"/>
          <w:szCs w:val="20"/>
        </w:rPr>
      </w:pPr>
      <w:r w:rsidRPr="00626B3F">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Pr="00244D31" w:rsidRDefault="00626B3F" w:rsidP="000E5987">
            <w:pPr>
              <w:pStyle w:val="Odstavecseseznamem"/>
              <w:ind w:left="0"/>
              <w:jc w:val="both"/>
              <w:rPr>
                <w:color w:val="FF0000"/>
                <w:sz w:val="20"/>
                <w:szCs w:val="20"/>
              </w:rPr>
            </w:pPr>
            <w:r w:rsidRPr="00626B3F">
              <w:rPr>
                <w:color w:val="0070C0"/>
                <w:sz w:val="20"/>
                <w:szCs w:val="20"/>
              </w:rPr>
              <w:t xml:space="preserve"> </w:t>
            </w:r>
            <w:r w:rsidRPr="00050E2D">
              <w:rPr>
                <w:color w:val="365F91" w:themeColor="accent1" w:themeShade="BF"/>
                <w:sz w:val="20"/>
                <w:szCs w:val="20"/>
              </w:rPr>
              <w:t>V IROP vždy obdržíte zprávu, které kritérium hodnocení jste nesplnili</w:t>
            </w:r>
            <w:r w:rsidR="00B84CD2" w:rsidRPr="00050E2D">
              <w:rPr>
                <w:color w:val="365F91" w:themeColor="accent1" w:themeShade="BF"/>
                <w:sz w:val="20"/>
                <w:szCs w:val="20"/>
              </w:rPr>
              <w:t xml:space="preserve"> a co je důvodem nesplnění</w:t>
            </w:r>
            <w:r w:rsidRPr="00050E2D">
              <w:rPr>
                <w:color w:val="365F91" w:themeColor="accent1" w:themeShade="BF"/>
                <w:sz w:val="20"/>
                <w:szCs w:val="20"/>
              </w:rPr>
              <w:t>.</w:t>
            </w:r>
            <w:r w:rsidR="000E5987">
              <w:rPr>
                <w:color w:val="365F91" w:themeColor="accent1" w:themeShade="BF"/>
                <w:sz w:val="20"/>
                <w:szCs w:val="20"/>
              </w:rPr>
              <w:t xml:space="preserve"> Je možné rovněž důvody vyřazení detailně probrat s příslušnou pobočkou CRR ČR. </w:t>
            </w:r>
          </w:p>
        </w:tc>
      </w:tr>
    </w:tbl>
    <w:p w:rsidR="0040315B" w:rsidRDefault="0040315B" w:rsidP="0040315B">
      <w:pPr>
        <w:pStyle w:val="Odstavecseseznamem"/>
        <w:ind w:left="284"/>
        <w:jc w:val="both"/>
        <w:rPr>
          <w:rFonts w:asciiTheme="minorHAnsi" w:hAnsiTheme="minorHAnsi" w:cs="Arial CE"/>
          <w:sz w:val="20"/>
          <w:szCs w:val="20"/>
        </w:rPr>
      </w:pPr>
    </w:p>
    <w:p w:rsidR="0040315B" w:rsidRDefault="00691ABF" w:rsidP="0040315B">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Nejistota v pravděpodobnosti získání dotace, resp. výše alokace</w:t>
      </w:r>
      <w:r w:rsidRPr="001F692A">
        <w:rPr>
          <w:rFonts w:asciiTheme="minorHAnsi" w:hAnsiTheme="minorHAnsi" w:cs="Arial CE"/>
          <w:sz w:val="20"/>
          <w:szCs w:val="20"/>
        </w:rPr>
        <w:tab/>
      </w:r>
    </w:p>
    <w:p w:rsidR="00984020" w:rsidRDefault="00984020" w:rsidP="00984020">
      <w:pPr>
        <w:pStyle w:val="Odstavecseseznamem"/>
        <w:ind w:left="284"/>
        <w:jc w:val="both"/>
        <w:rPr>
          <w:rFonts w:asciiTheme="minorHAnsi" w:hAnsiTheme="minorHAnsi" w:cs="Arial CE"/>
          <w:sz w:val="20"/>
          <w:szCs w:val="20"/>
        </w:rPr>
      </w:pPr>
    </w:p>
    <w:p w:rsidR="00B84CD2" w:rsidRDefault="0040315B" w:rsidP="0040315B">
      <w:pPr>
        <w:pStyle w:val="Odstavecseseznamem"/>
        <w:ind w:left="284"/>
        <w:jc w:val="both"/>
        <w:rPr>
          <w:b/>
          <w:color w:val="000000" w:themeColor="text1"/>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Pr="00244D31" w:rsidRDefault="00244D31" w:rsidP="002E6070">
            <w:pPr>
              <w:pStyle w:val="Odstavecseseznamem"/>
              <w:ind w:left="0"/>
              <w:jc w:val="both"/>
              <w:rPr>
                <w:sz w:val="20"/>
                <w:szCs w:val="20"/>
              </w:rPr>
            </w:pPr>
            <w:r w:rsidRPr="00050E2D">
              <w:rPr>
                <w:color w:val="365F91" w:themeColor="accent1" w:themeShade="BF"/>
                <w:sz w:val="20"/>
                <w:szCs w:val="20"/>
              </w:rPr>
              <w:t>Míra spolufinancování z EU je 85 % a příspěvek ze státní</w:t>
            </w:r>
            <w:r w:rsidR="00E67B11" w:rsidRPr="00050E2D">
              <w:rPr>
                <w:color w:val="365F91" w:themeColor="accent1" w:themeShade="BF"/>
                <w:sz w:val="20"/>
                <w:szCs w:val="20"/>
              </w:rPr>
              <w:t>ho</w:t>
            </w:r>
            <w:r w:rsidRPr="00050E2D">
              <w:rPr>
                <w:color w:val="365F91" w:themeColor="accent1" w:themeShade="BF"/>
                <w:sz w:val="20"/>
                <w:szCs w:val="20"/>
              </w:rPr>
              <w:t xml:space="preserve"> rozpočtu </w:t>
            </w:r>
            <w:r w:rsidR="00B84CD2" w:rsidRPr="00050E2D">
              <w:rPr>
                <w:color w:val="365F91" w:themeColor="accent1" w:themeShade="BF"/>
                <w:sz w:val="20"/>
                <w:szCs w:val="20"/>
              </w:rPr>
              <w:t xml:space="preserve">je </w:t>
            </w:r>
            <w:r w:rsidRPr="00050E2D">
              <w:rPr>
                <w:color w:val="365F91" w:themeColor="accent1" w:themeShade="BF"/>
                <w:sz w:val="20"/>
                <w:szCs w:val="20"/>
              </w:rPr>
              <w:t xml:space="preserve">v intervalu 0-15 % </w:t>
            </w:r>
            <w:r w:rsidR="00B84CD2" w:rsidRPr="00050E2D">
              <w:rPr>
                <w:color w:val="365F91" w:themeColor="accent1" w:themeShade="BF"/>
                <w:sz w:val="20"/>
                <w:szCs w:val="20"/>
              </w:rPr>
              <w:t>po</w:t>
            </w:r>
            <w:r w:rsidRPr="00050E2D">
              <w:rPr>
                <w:color w:val="365F91" w:themeColor="accent1" w:themeShade="BF"/>
                <w:sz w:val="20"/>
                <w:szCs w:val="20"/>
              </w:rPr>
              <w:t>dle typu příjemce</w:t>
            </w:r>
            <w:r w:rsidR="00B84CD2" w:rsidRPr="00050E2D">
              <w:rPr>
                <w:color w:val="365F91" w:themeColor="accent1" w:themeShade="BF"/>
                <w:sz w:val="20"/>
                <w:szCs w:val="20"/>
              </w:rPr>
              <w:t xml:space="preserve"> a výše alokace je</w:t>
            </w:r>
            <w:r w:rsidR="00E67B11" w:rsidRPr="00050E2D">
              <w:rPr>
                <w:color w:val="365F91" w:themeColor="accent1" w:themeShade="BF"/>
                <w:sz w:val="20"/>
                <w:szCs w:val="20"/>
              </w:rPr>
              <w:t xml:space="preserve"> </w:t>
            </w:r>
            <w:r w:rsidR="00B84CD2" w:rsidRPr="00050E2D">
              <w:rPr>
                <w:color w:val="365F91" w:themeColor="accent1" w:themeShade="BF"/>
                <w:sz w:val="20"/>
                <w:szCs w:val="20"/>
              </w:rPr>
              <w:t>uvedena</w:t>
            </w:r>
            <w:r w:rsidR="00E67B11" w:rsidRPr="00050E2D">
              <w:rPr>
                <w:color w:val="365F91" w:themeColor="accent1" w:themeShade="BF"/>
                <w:sz w:val="20"/>
                <w:szCs w:val="20"/>
              </w:rPr>
              <w:t xml:space="preserve"> v textu výzvy. Alokace výzev je dostatečná a riziko, že by se na projekt nedostalo z důvodu nedostatku financí</w:t>
            </w:r>
            <w:r w:rsidR="00B84CD2" w:rsidRPr="00050E2D">
              <w:rPr>
                <w:color w:val="365F91" w:themeColor="accent1" w:themeShade="BF"/>
                <w:sz w:val="20"/>
                <w:szCs w:val="20"/>
              </w:rPr>
              <w:t>,</w:t>
            </w:r>
            <w:r w:rsidR="00E67B11" w:rsidRPr="00050E2D">
              <w:rPr>
                <w:color w:val="365F91" w:themeColor="accent1" w:themeShade="BF"/>
                <w:sz w:val="20"/>
                <w:szCs w:val="20"/>
              </w:rPr>
              <w:t xml:space="preserve"> </w:t>
            </w:r>
            <w:r w:rsidR="002E6070">
              <w:rPr>
                <w:color w:val="365F91" w:themeColor="accent1" w:themeShade="BF"/>
                <w:sz w:val="20"/>
                <w:szCs w:val="20"/>
              </w:rPr>
              <w:t>je odlišné podle jednotlivých výzev</w:t>
            </w:r>
            <w:r w:rsidR="00E67B11" w:rsidRPr="00050E2D">
              <w:rPr>
                <w:color w:val="365F91" w:themeColor="accent1" w:themeShade="BF"/>
                <w:sz w:val="20"/>
                <w:szCs w:val="20"/>
              </w:rPr>
              <w:t>.</w:t>
            </w:r>
            <w:r w:rsidR="002E6070">
              <w:rPr>
                <w:color w:val="365F91" w:themeColor="accent1" w:themeShade="BF"/>
                <w:sz w:val="20"/>
                <w:szCs w:val="20"/>
              </w:rPr>
              <w:t xml:space="preserve"> Obecně lze konstatovat, že v prvních výzvách bývá úspěšnost projektů vyšší, než v navazujících výzvách. </w:t>
            </w:r>
          </w:p>
        </w:tc>
      </w:tr>
    </w:tbl>
    <w:p w:rsidR="0040315B" w:rsidRPr="0040315B" w:rsidRDefault="0040315B" w:rsidP="0040315B">
      <w:pPr>
        <w:pStyle w:val="Odstavecseseznamem"/>
        <w:ind w:left="284"/>
        <w:jc w:val="both"/>
        <w:rPr>
          <w:rFonts w:asciiTheme="minorHAnsi" w:hAnsiTheme="minorHAnsi" w:cs="Arial CE"/>
          <w:sz w:val="20"/>
          <w:szCs w:val="20"/>
        </w:rPr>
      </w:pPr>
    </w:p>
    <w:p w:rsidR="0040315B" w:rsidRPr="00984020" w:rsidRDefault="002A64F1" w:rsidP="0040315B">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sz w:val="20"/>
          <w:szCs w:val="20"/>
        </w:rPr>
        <w:t>IROP 2.4 -  výzva č. 14- na území ÚK nebudou žádosti podávány, protože se na území všech ORP vyskytují SVL a ty budou zohledněny žádosti ve výzvě č.15. Uvítali bychom, kdyby MMR v dalších výzvách navýšilo alokaci ve prospěch území se SVL.</w:t>
      </w:r>
    </w:p>
    <w:p w:rsidR="00984020" w:rsidRDefault="00984020" w:rsidP="00984020">
      <w:pPr>
        <w:pStyle w:val="Odstavecseseznamem"/>
        <w:ind w:left="284"/>
        <w:jc w:val="both"/>
        <w:rPr>
          <w:rFonts w:asciiTheme="minorHAnsi" w:hAnsiTheme="minorHAnsi" w:cs="Arial CE"/>
          <w:sz w:val="20"/>
          <w:szCs w:val="20"/>
        </w:rPr>
      </w:pPr>
    </w:p>
    <w:p w:rsidR="0040315B" w:rsidRPr="0040315B" w:rsidRDefault="0040315B" w:rsidP="0040315B">
      <w:pPr>
        <w:pStyle w:val="Odstavecseseznamem"/>
        <w:ind w:left="284"/>
        <w:jc w:val="both"/>
        <w:rPr>
          <w:rFonts w:asciiTheme="minorHAnsi" w:hAnsiTheme="minorHAnsi" w:cs="Arial CE"/>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Pr="00050E2D" w:rsidRDefault="00E67B11" w:rsidP="002E6070">
            <w:pPr>
              <w:pStyle w:val="Odstavecseseznamem"/>
              <w:ind w:left="0"/>
              <w:jc w:val="both"/>
              <w:rPr>
                <w:color w:val="365F91" w:themeColor="accent1" w:themeShade="BF"/>
                <w:sz w:val="20"/>
                <w:szCs w:val="20"/>
              </w:rPr>
            </w:pPr>
            <w:r w:rsidRPr="00050E2D">
              <w:rPr>
                <w:color w:val="365F91" w:themeColor="accent1" w:themeShade="BF"/>
                <w:sz w:val="20"/>
                <w:szCs w:val="20"/>
              </w:rPr>
              <w:t xml:space="preserve">Harmonogram </w:t>
            </w:r>
            <w:r w:rsidR="00B84CD2" w:rsidRPr="00050E2D">
              <w:rPr>
                <w:color w:val="365F91" w:themeColor="accent1" w:themeShade="BF"/>
                <w:sz w:val="20"/>
                <w:szCs w:val="20"/>
              </w:rPr>
              <w:t xml:space="preserve">a alokace </w:t>
            </w:r>
            <w:r w:rsidRPr="00050E2D">
              <w:rPr>
                <w:color w:val="365F91" w:themeColor="accent1" w:themeShade="BF"/>
                <w:sz w:val="20"/>
                <w:szCs w:val="20"/>
              </w:rPr>
              <w:t>výzev pro rok 2016 j</w:t>
            </w:r>
            <w:r w:rsidR="00B84CD2" w:rsidRPr="00050E2D">
              <w:rPr>
                <w:color w:val="365F91" w:themeColor="accent1" w:themeShade="BF"/>
                <w:sz w:val="20"/>
                <w:szCs w:val="20"/>
              </w:rPr>
              <w:t>sou</w:t>
            </w:r>
            <w:r w:rsidRPr="00050E2D">
              <w:rPr>
                <w:color w:val="365F91" w:themeColor="accent1" w:themeShade="BF"/>
                <w:sz w:val="20"/>
                <w:szCs w:val="20"/>
              </w:rPr>
              <w:t xml:space="preserve"> nastaven</w:t>
            </w:r>
            <w:r w:rsidR="00B84CD2" w:rsidRPr="00050E2D">
              <w:rPr>
                <w:color w:val="365F91" w:themeColor="accent1" w:themeShade="BF"/>
                <w:sz w:val="20"/>
                <w:szCs w:val="20"/>
              </w:rPr>
              <w:t>y</w:t>
            </w:r>
            <w:r w:rsidRPr="00050E2D">
              <w:rPr>
                <w:color w:val="365F91" w:themeColor="accent1" w:themeShade="BF"/>
                <w:sz w:val="20"/>
                <w:szCs w:val="20"/>
              </w:rPr>
              <w:t xml:space="preserve">, pro rok </w:t>
            </w:r>
            <w:r w:rsidR="00C614D4" w:rsidRPr="00050E2D">
              <w:rPr>
                <w:color w:val="365F91" w:themeColor="accent1" w:themeShade="BF"/>
                <w:sz w:val="20"/>
                <w:szCs w:val="20"/>
              </w:rPr>
              <w:t>2017 rozdělení alokací upravíme</w:t>
            </w:r>
            <w:r w:rsidR="002E6070">
              <w:rPr>
                <w:color w:val="365F91" w:themeColor="accent1" w:themeShade="BF"/>
                <w:sz w:val="20"/>
                <w:szCs w:val="20"/>
              </w:rPr>
              <w:t xml:space="preserve"> teprve po vyhodnocení výsledků prvních výzev. Těšíme se na množství kvalitních projektů z ÚK ;-)</w:t>
            </w:r>
          </w:p>
        </w:tc>
      </w:tr>
    </w:tbl>
    <w:p w:rsidR="0040315B" w:rsidRPr="0040315B" w:rsidRDefault="0040315B" w:rsidP="0040315B">
      <w:pPr>
        <w:pStyle w:val="Odstavecseseznamem"/>
        <w:ind w:left="284"/>
        <w:jc w:val="both"/>
        <w:rPr>
          <w:rFonts w:asciiTheme="minorHAnsi" w:hAnsiTheme="minorHAnsi" w:cs="Arial CE"/>
          <w:sz w:val="20"/>
          <w:szCs w:val="20"/>
        </w:rPr>
      </w:pPr>
    </w:p>
    <w:p w:rsidR="0040315B" w:rsidRPr="00984020" w:rsidRDefault="00F168A4" w:rsidP="0040315B">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sz w:val="20"/>
          <w:szCs w:val="20"/>
        </w:rPr>
        <w:t>Prosba o prodloužení výzvy o 6 měsíců.</w:t>
      </w:r>
    </w:p>
    <w:p w:rsidR="00984020" w:rsidRDefault="00984020" w:rsidP="00984020">
      <w:pPr>
        <w:pStyle w:val="Odstavecseseznamem"/>
        <w:ind w:left="284"/>
        <w:jc w:val="both"/>
        <w:rPr>
          <w:rFonts w:asciiTheme="minorHAnsi" w:hAnsiTheme="minorHAnsi" w:cs="Arial CE"/>
          <w:sz w:val="20"/>
          <w:szCs w:val="20"/>
        </w:rPr>
      </w:pPr>
    </w:p>
    <w:p w:rsidR="0040315B" w:rsidRPr="0040315B" w:rsidRDefault="0040315B" w:rsidP="0040315B">
      <w:pPr>
        <w:pStyle w:val="Odstavecseseznamem"/>
        <w:ind w:left="284"/>
        <w:jc w:val="both"/>
        <w:rPr>
          <w:rFonts w:asciiTheme="minorHAnsi" w:hAnsiTheme="minorHAnsi" w:cs="Arial CE"/>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Pr="00C614D4" w:rsidRDefault="00A34153" w:rsidP="00A34153">
            <w:pPr>
              <w:pStyle w:val="Odstavecseseznamem"/>
              <w:ind w:left="0"/>
              <w:jc w:val="both"/>
              <w:rPr>
                <w:color w:val="FF0000"/>
                <w:sz w:val="20"/>
                <w:szCs w:val="20"/>
              </w:rPr>
            </w:pPr>
            <w:r w:rsidRPr="00050E2D">
              <w:rPr>
                <w:color w:val="365F91" w:themeColor="accent1" w:themeShade="BF"/>
                <w:sz w:val="20"/>
                <w:szCs w:val="20"/>
              </w:rPr>
              <w:t>Kolová výzva na MŠ je již vyhlášena, v roce 2017 je plánována další výzva na předškolní vzdělávání za obdobných podmínek. HMG výzev na 2017 bude zveřejněn v květnu 2016.</w:t>
            </w:r>
            <w:r w:rsidRPr="005D3425">
              <w:rPr>
                <w:color w:val="0070C0"/>
                <w:sz w:val="20"/>
                <w:szCs w:val="20"/>
              </w:rPr>
              <w:t xml:space="preserve"> </w:t>
            </w:r>
          </w:p>
        </w:tc>
      </w:tr>
    </w:tbl>
    <w:p w:rsidR="00691ABF" w:rsidRPr="001F692A" w:rsidRDefault="00691ABF" w:rsidP="001F692A">
      <w:pPr>
        <w:rPr>
          <w:rFonts w:asciiTheme="minorHAnsi" w:hAnsiTheme="minorHAnsi" w:cs="Arial CE"/>
          <w:sz w:val="20"/>
          <w:szCs w:val="20"/>
        </w:rPr>
      </w:pPr>
    </w:p>
    <w:p w:rsidR="00691ABF" w:rsidRPr="001F692A" w:rsidRDefault="002A64F1" w:rsidP="001F692A">
      <w:pPr>
        <w:rPr>
          <w:rFonts w:asciiTheme="minorHAnsi" w:hAnsiTheme="minorHAnsi"/>
          <w:sz w:val="20"/>
          <w:szCs w:val="20"/>
        </w:rPr>
      </w:pPr>
      <w:r w:rsidRPr="001F692A">
        <w:rPr>
          <w:rFonts w:asciiTheme="minorHAnsi" w:hAnsiTheme="minorHAnsi"/>
          <w:b/>
          <w:sz w:val="20"/>
          <w:szCs w:val="20"/>
        </w:rPr>
        <w:t xml:space="preserve">SC 2.4 </w:t>
      </w:r>
      <w:r w:rsidR="00541ABA" w:rsidRPr="001F692A">
        <w:rPr>
          <w:rFonts w:asciiTheme="minorHAnsi" w:hAnsiTheme="minorHAnsi"/>
          <w:b/>
          <w:sz w:val="20"/>
          <w:szCs w:val="20"/>
        </w:rPr>
        <w:t>i</w:t>
      </w:r>
      <w:r w:rsidR="00691ABF" w:rsidRPr="001F692A">
        <w:rPr>
          <w:rFonts w:asciiTheme="minorHAnsi" w:hAnsiTheme="minorHAnsi"/>
          <w:b/>
          <w:sz w:val="20"/>
          <w:szCs w:val="20"/>
        </w:rPr>
        <w:t>nfrastruktura středních a vyšších odborných škol</w:t>
      </w:r>
    </w:p>
    <w:p w:rsidR="0040315B" w:rsidRDefault="006D443E" w:rsidP="0040315B">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Infrastruktura středních a vyšších odborných škol: na seznamu podporovaných učebních oborů v IROP není uveden tento obor výuky: „8241M – Výtvarné zpracování skla a světelných objektů“, přestože se týká řemesla a řemeslných dovedností.</w:t>
      </w:r>
    </w:p>
    <w:p w:rsidR="00984020" w:rsidRDefault="00984020" w:rsidP="00984020">
      <w:pPr>
        <w:pStyle w:val="Odstavecseseznamem"/>
        <w:ind w:left="284"/>
        <w:jc w:val="both"/>
        <w:rPr>
          <w:rFonts w:asciiTheme="minorHAnsi" w:hAnsiTheme="minorHAnsi"/>
          <w:sz w:val="20"/>
          <w:szCs w:val="20"/>
        </w:rPr>
      </w:pPr>
    </w:p>
    <w:p w:rsidR="0040315B" w:rsidRPr="0040315B" w:rsidRDefault="0040315B" w:rsidP="0040315B">
      <w:pPr>
        <w:pStyle w:val="Odstavecseseznamem"/>
        <w:ind w:left="284"/>
        <w:jc w:val="both"/>
        <w:rPr>
          <w:rFonts w:asciiTheme="minorHAnsi" w:hAnsiTheme="minorHAnsi"/>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Default="00D03F12" w:rsidP="00930A5D">
            <w:pPr>
              <w:pStyle w:val="Odstavecseseznamem"/>
              <w:ind w:left="0"/>
              <w:jc w:val="both"/>
              <w:rPr>
                <w:color w:val="000000" w:themeColor="text1"/>
                <w:sz w:val="20"/>
                <w:szCs w:val="20"/>
              </w:rPr>
            </w:pPr>
            <w:r w:rsidRPr="00050E2D">
              <w:rPr>
                <w:color w:val="365F91" w:themeColor="accent1" w:themeShade="BF"/>
                <w:sz w:val="20"/>
                <w:szCs w:val="20"/>
              </w:rPr>
              <w:t xml:space="preserve">Finální seznam oborů bude </w:t>
            </w:r>
            <w:r w:rsidR="00930A5D" w:rsidRPr="00050E2D">
              <w:rPr>
                <w:color w:val="365F91" w:themeColor="accent1" w:themeShade="BF"/>
                <w:sz w:val="20"/>
                <w:szCs w:val="20"/>
              </w:rPr>
              <w:t>ŘO IROP</w:t>
            </w:r>
            <w:r w:rsidRPr="00050E2D">
              <w:rPr>
                <w:color w:val="365F91" w:themeColor="accent1" w:themeShade="BF"/>
                <w:sz w:val="20"/>
                <w:szCs w:val="20"/>
              </w:rPr>
              <w:t xml:space="preserve"> konzultov</w:t>
            </w:r>
            <w:r w:rsidR="00930A5D" w:rsidRPr="00050E2D">
              <w:rPr>
                <w:color w:val="365F91" w:themeColor="accent1" w:themeShade="BF"/>
                <w:sz w:val="20"/>
                <w:szCs w:val="20"/>
              </w:rPr>
              <w:t>at</w:t>
            </w:r>
            <w:r w:rsidRPr="00050E2D">
              <w:rPr>
                <w:color w:val="365F91" w:themeColor="accent1" w:themeShade="BF"/>
                <w:sz w:val="20"/>
                <w:szCs w:val="20"/>
              </w:rPr>
              <w:t xml:space="preserve"> s</w:t>
            </w:r>
            <w:r w:rsidR="00626B3F" w:rsidRPr="00050E2D">
              <w:rPr>
                <w:color w:val="365F91" w:themeColor="accent1" w:themeShade="BF"/>
                <w:sz w:val="20"/>
                <w:szCs w:val="20"/>
              </w:rPr>
              <w:t> </w:t>
            </w:r>
            <w:r w:rsidRPr="00050E2D">
              <w:rPr>
                <w:color w:val="365F91" w:themeColor="accent1" w:themeShade="BF"/>
                <w:sz w:val="20"/>
                <w:szCs w:val="20"/>
              </w:rPr>
              <w:t>MŠMT</w:t>
            </w:r>
            <w:r w:rsidR="00626B3F" w:rsidRPr="00050E2D">
              <w:rPr>
                <w:color w:val="365F91" w:themeColor="accent1" w:themeShade="BF"/>
                <w:sz w:val="20"/>
                <w:szCs w:val="20"/>
              </w:rPr>
              <w:t xml:space="preserve"> př</w:t>
            </w:r>
            <w:r w:rsidR="00930A5D" w:rsidRPr="00050E2D">
              <w:rPr>
                <w:color w:val="365F91" w:themeColor="accent1" w:themeShade="BF"/>
                <w:sz w:val="20"/>
                <w:szCs w:val="20"/>
              </w:rPr>
              <w:t>ed</w:t>
            </w:r>
            <w:r w:rsidR="00626B3F" w:rsidRPr="00050E2D">
              <w:rPr>
                <w:color w:val="365F91" w:themeColor="accent1" w:themeShade="BF"/>
                <w:sz w:val="20"/>
                <w:szCs w:val="20"/>
              </w:rPr>
              <w:t xml:space="preserve"> vyhlášení</w:t>
            </w:r>
            <w:r w:rsidR="00930A5D" w:rsidRPr="00050E2D">
              <w:rPr>
                <w:color w:val="365F91" w:themeColor="accent1" w:themeShade="BF"/>
                <w:sz w:val="20"/>
                <w:szCs w:val="20"/>
              </w:rPr>
              <w:t>m</w:t>
            </w:r>
            <w:r w:rsidR="00626B3F" w:rsidRPr="00050E2D">
              <w:rPr>
                <w:color w:val="365F91" w:themeColor="accent1" w:themeShade="BF"/>
                <w:sz w:val="20"/>
                <w:szCs w:val="20"/>
              </w:rPr>
              <w:t xml:space="preserve"> výzvy na SŠ</w:t>
            </w:r>
            <w:r w:rsidRPr="00050E2D">
              <w:rPr>
                <w:color w:val="365F91" w:themeColor="accent1" w:themeShade="BF"/>
                <w:sz w:val="20"/>
                <w:szCs w:val="20"/>
              </w:rPr>
              <w:t>.</w:t>
            </w:r>
            <w:r w:rsidRPr="00626B3F">
              <w:rPr>
                <w:color w:val="0070C0"/>
                <w:sz w:val="20"/>
                <w:szCs w:val="20"/>
              </w:rPr>
              <w:t xml:space="preserve"> </w:t>
            </w:r>
          </w:p>
        </w:tc>
      </w:tr>
    </w:tbl>
    <w:p w:rsidR="0040315B" w:rsidRDefault="0040315B" w:rsidP="0040315B">
      <w:pPr>
        <w:pStyle w:val="Odstavecseseznamem"/>
        <w:ind w:left="284"/>
        <w:jc w:val="both"/>
        <w:rPr>
          <w:rFonts w:asciiTheme="minorHAnsi" w:hAnsiTheme="minorHAnsi"/>
          <w:sz w:val="20"/>
          <w:szCs w:val="20"/>
        </w:rPr>
      </w:pPr>
    </w:p>
    <w:p w:rsidR="006D443E" w:rsidRPr="001F692A" w:rsidRDefault="006D443E" w:rsidP="001F692A">
      <w:pPr>
        <w:rPr>
          <w:rFonts w:asciiTheme="minorHAnsi" w:hAnsiTheme="minorHAnsi"/>
          <w:sz w:val="20"/>
          <w:szCs w:val="20"/>
        </w:rPr>
      </w:pPr>
    </w:p>
    <w:p w:rsidR="00DF54C5" w:rsidRPr="001F692A" w:rsidRDefault="00AD4F10" w:rsidP="001F692A">
      <w:pPr>
        <w:rPr>
          <w:rFonts w:asciiTheme="minorHAnsi" w:hAnsiTheme="minorHAnsi"/>
          <w:b/>
          <w:bCs/>
          <w:sz w:val="20"/>
          <w:szCs w:val="20"/>
        </w:rPr>
      </w:pPr>
      <w:r w:rsidRPr="001F692A">
        <w:rPr>
          <w:rFonts w:asciiTheme="minorHAnsi" w:hAnsiTheme="minorHAnsi"/>
          <w:b/>
          <w:bCs/>
          <w:sz w:val="20"/>
          <w:szCs w:val="20"/>
        </w:rPr>
        <w:t xml:space="preserve">SC </w:t>
      </w:r>
      <w:r w:rsidR="00DF54C5" w:rsidRPr="001F692A">
        <w:rPr>
          <w:rFonts w:asciiTheme="minorHAnsi" w:hAnsiTheme="minorHAnsi"/>
          <w:b/>
          <w:bCs/>
          <w:sz w:val="20"/>
          <w:szCs w:val="20"/>
        </w:rPr>
        <w:t>3.1</w:t>
      </w:r>
      <w:r w:rsidR="00541ABA" w:rsidRPr="001F692A">
        <w:rPr>
          <w:rFonts w:asciiTheme="minorHAnsi" w:hAnsiTheme="minorHAnsi"/>
          <w:b/>
          <w:bCs/>
          <w:sz w:val="20"/>
          <w:szCs w:val="20"/>
        </w:rPr>
        <w:t xml:space="preserve"> kulturní dědictví </w:t>
      </w:r>
    </w:p>
    <w:p w:rsidR="0040315B" w:rsidRDefault="00DF54C5" w:rsidP="0040315B">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Zefektivnění ochrany a využívání sbírkových a knihovních fondů a jejich zpřístupnění: stále kritérium návštěvnosti. Severočeské muzeum v Liberci kritérium nesplňuje, jelikož byl v roce 2014 omezen provoz z důvodu rekonstrukce.</w:t>
      </w:r>
    </w:p>
    <w:p w:rsidR="00984020" w:rsidRDefault="00984020" w:rsidP="00984020">
      <w:pPr>
        <w:pStyle w:val="Odstavecseseznamem"/>
        <w:ind w:left="284"/>
        <w:jc w:val="both"/>
        <w:rPr>
          <w:rFonts w:asciiTheme="minorHAnsi" w:hAnsiTheme="minorHAnsi"/>
          <w:sz w:val="20"/>
          <w:szCs w:val="20"/>
        </w:rPr>
      </w:pPr>
    </w:p>
    <w:p w:rsidR="0040315B" w:rsidRPr="0040315B" w:rsidRDefault="0040315B" w:rsidP="0040315B">
      <w:pPr>
        <w:pStyle w:val="Odstavecseseznamem"/>
        <w:ind w:left="284"/>
        <w:jc w:val="both"/>
        <w:rPr>
          <w:rFonts w:asciiTheme="minorHAnsi" w:hAnsiTheme="minorHAnsi"/>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Pr="00050E2D" w:rsidRDefault="00BA5207" w:rsidP="00930A5D">
            <w:pPr>
              <w:pStyle w:val="Odstavecseseznamem"/>
              <w:ind w:left="0"/>
              <w:jc w:val="both"/>
              <w:rPr>
                <w:color w:val="365F91" w:themeColor="accent1" w:themeShade="BF"/>
                <w:sz w:val="20"/>
                <w:szCs w:val="20"/>
              </w:rPr>
            </w:pPr>
            <w:r w:rsidRPr="00050E2D">
              <w:rPr>
                <w:color w:val="365F91" w:themeColor="accent1" w:themeShade="BF"/>
                <w:sz w:val="20"/>
                <w:szCs w:val="20"/>
              </w:rPr>
              <w:t>Do výpočtů návštěvnosti muzea budou započítávány průměry za roky 2013, 2014 a 2015 podle NIPOS.</w:t>
            </w:r>
            <w:r w:rsidR="00626B3F" w:rsidRPr="00050E2D">
              <w:rPr>
                <w:color w:val="365F91" w:themeColor="accent1" w:themeShade="BF"/>
                <w:sz w:val="20"/>
                <w:szCs w:val="20"/>
              </w:rPr>
              <w:t xml:space="preserve"> </w:t>
            </w:r>
            <w:r w:rsidRPr="00050E2D">
              <w:rPr>
                <w:color w:val="365F91" w:themeColor="accent1" w:themeShade="BF"/>
                <w:sz w:val="20"/>
                <w:szCs w:val="20"/>
              </w:rPr>
              <w:t xml:space="preserve"> </w:t>
            </w:r>
          </w:p>
        </w:tc>
      </w:tr>
    </w:tbl>
    <w:p w:rsidR="0040315B" w:rsidRDefault="0040315B" w:rsidP="0040315B">
      <w:pPr>
        <w:pStyle w:val="Odstavecseseznamem"/>
        <w:ind w:left="284"/>
        <w:jc w:val="both"/>
        <w:rPr>
          <w:rFonts w:asciiTheme="minorHAnsi" w:hAnsiTheme="minorHAnsi"/>
          <w:sz w:val="20"/>
          <w:szCs w:val="20"/>
        </w:rPr>
      </w:pPr>
    </w:p>
    <w:p w:rsidR="0040315B" w:rsidRDefault="009157A9" w:rsidP="0040315B">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lastRenderedPageBreak/>
        <w:t>Prosba o prodloužení výzvy o 6 měsíců.</w:t>
      </w:r>
    </w:p>
    <w:p w:rsidR="00984020" w:rsidRDefault="00984020" w:rsidP="00984020">
      <w:pPr>
        <w:pStyle w:val="Odstavecseseznamem"/>
        <w:ind w:left="284"/>
        <w:jc w:val="both"/>
        <w:rPr>
          <w:rFonts w:asciiTheme="minorHAnsi" w:hAnsiTheme="minorHAnsi"/>
          <w:sz w:val="20"/>
          <w:szCs w:val="20"/>
        </w:rPr>
      </w:pPr>
    </w:p>
    <w:p w:rsidR="0040315B" w:rsidRPr="0040315B" w:rsidRDefault="0040315B" w:rsidP="0040315B">
      <w:pPr>
        <w:pStyle w:val="Odstavecseseznamem"/>
        <w:ind w:left="284"/>
        <w:jc w:val="both"/>
        <w:rPr>
          <w:rFonts w:asciiTheme="minorHAnsi" w:hAnsiTheme="minorHAnsi"/>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Default="00BA5207" w:rsidP="00984020">
            <w:pPr>
              <w:pStyle w:val="Odstavecseseznamem"/>
              <w:ind w:left="0"/>
              <w:jc w:val="both"/>
              <w:rPr>
                <w:color w:val="000000" w:themeColor="text1"/>
                <w:sz w:val="20"/>
                <w:szCs w:val="20"/>
              </w:rPr>
            </w:pPr>
            <w:r w:rsidRPr="00050E2D">
              <w:rPr>
                <w:color w:val="365F91" w:themeColor="accent1" w:themeShade="BF"/>
                <w:sz w:val="20"/>
                <w:szCs w:val="20"/>
              </w:rPr>
              <w:t>Výzvy na památky a muzea již byly vyhlášeny. Výzva na knihovny je plánována na březen 2016 jako průběžná výzva s předkládáním žádostí do 31.12.2017.</w:t>
            </w:r>
          </w:p>
        </w:tc>
      </w:tr>
    </w:tbl>
    <w:p w:rsidR="00DF54C5" w:rsidRPr="001F692A" w:rsidRDefault="00DF54C5" w:rsidP="001F692A">
      <w:pPr>
        <w:jc w:val="both"/>
        <w:rPr>
          <w:rFonts w:asciiTheme="minorHAnsi" w:hAnsiTheme="minorHAnsi"/>
          <w:sz w:val="20"/>
          <w:szCs w:val="20"/>
        </w:rPr>
      </w:pPr>
    </w:p>
    <w:p w:rsidR="00DF54C5" w:rsidRPr="001F692A" w:rsidRDefault="00AD4F10" w:rsidP="001F692A">
      <w:pPr>
        <w:rPr>
          <w:rFonts w:asciiTheme="minorHAnsi" w:eastAsia="Times New Roman" w:hAnsiTheme="minorHAnsi"/>
          <w:b/>
          <w:bCs/>
          <w:sz w:val="20"/>
          <w:szCs w:val="20"/>
          <w:lang w:eastAsia="cs-CZ"/>
        </w:rPr>
      </w:pPr>
      <w:r w:rsidRPr="001F692A">
        <w:rPr>
          <w:rFonts w:asciiTheme="minorHAnsi" w:hAnsiTheme="minorHAnsi"/>
          <w:b/>
          <w:bCs/>
          <w:sz w:val="20"/>
          <w:szCs w:val="20"/>
        </w:rPr>
        <w:t xml:space="preserve">SC </w:t>
      </w:r>
      <w:r w:rsidR="00DF54C5" w:rsidRPr="001F692A">
        <w:rPr>
          <w:rFonts w:asciiTheme="minorHAnsi" w:hAnsiTheme="minorHAnsi"/>
          <w:b/>
          <w:bCs/>
          <w:sz w:val="20"/>
          <w:szCs w:val="20"/>
        </w:rPr>
        <w:t xml:space="preserve">3.2 </w:t>
      </w:r>
      <w:r w:rsidR="00541ABA" w:rsidRPr="001F692A">
        <w:rPr>
          <w:rFonts w:asciiTheme="minorHAnsi" w:eastAsia="Times New Roman" w:hAnsiTheme="minorHAnsi"/>
          <w:b/>
          <w:bCs/>
          <w:sz w:val="20"/>
          <w:szCs w:val="20"/>
          <w:lang w:eastAsia="cs-CZ"/>
        </w:rPr>
        <w:t>a</w:t>
      </w:r>
      <w:r w:rsidR="00DF54C5" w:rsidRPr="001F692A">
        <w:rPr>
          <w:rFonts w:asciiTheme="minorHAnsi" w:eastAsia="Times New Roman" w:hAnsiTheme="minorHAnsi"/>
          <w:b/>
          <w:bCs/>
          <w:sz w:val="20"/>
          <w:szCs w:val="20"/>
          <w:lang w:eastAsia="cs-CZ"/>
        </w:rPr>
        <w:t xml:space="preserve">ktivity vedoucí k úplnému elektronickému podání  </w:t>
      </w:r>
    </w:p>
    <w:p w:rsidR="0040315B" w:rsidRDefault="00DF54C5" w:rsidP="0040315B">
      <w:pPr>
        <w:pStyle w:val="Odstavecseseznamem"/>
        <w:numPr>
          <w:ilvl w:val="0"/>
          <w:numId w:val="2"/>
        </w:numPr>
        <w:ind w:left="284" w:hanging="284"/>
        <w:jc w:val="both"/>
        <w:rPr>
          <w:rFonts w:asciiTheme="minorHAnsi" w:hAnsiTheme="minorHAnsi" w:cs="Arial CE"/>
          <w:sz w:val="20"/>
          <w:szCs w:val="20"/>
        </w:rPr>
      </w:pPr>
      <w:r w:rsidRPr="001F692A">
        <w:rPr>
          <w:rFonts w:asciiTheme="minorHAnsi" w:hAnsiTheme="minorHAnsi" w:cs="Arial CE"/>
          <w:sz w:val="20"/>
          <w:szCs w:val="20"/>
        </w:rPr>
        <w:t>Nedostatek informací</w:t>
      </w:r>
      <w:r w:rsidRPr="001F692A">
        <w:rPr>
          <w:rFonts w:asciiTheme="minorHAnsi" w:hAnsiTheme="minorHAnsi" w:cs="Arial CE"/>
          <w:sz w:val="20"/>
          <w:szCs w:val="20"/>
        </w:rPr>
        <w:tab/>
      </w:r>
    </w:p>
    <w:p w:rsidR="00984020" w:rsidRDefault="00984020" w:rsidP="00984020">
      <w:pPr>
        <w:pStyle w:val="Odstavecseseznamem"/>
        <w:ind w:left="284"/>
        <w:jc w:val="both"/>
        <w:rPr>
          <w:rFonts w:asciiTheme="minorHAnsi" w:hAnsiTheme="minorHAnsi" w:cs="Arial CE"/>
          <w:sz w:val="20"/>
          <w:szCs w:val="20"/>
        </w:rPr>
      </w:pPr>
    </w:p>
    <w:p w:rsidR="0040315B" w:rsidRPr="0040315B" w:rsidRDefault="0040315B" w:rsidP="0040315B">
      <w:pPr>
        <w:pStyle w:val="Odstavecseseznamem"/>
        <w:ind w:left="284"/>
        <w:jc w:val="both"/>
        <w:rPr>
          <w:rFonts w:asciiTheme="minorHAnsi" w:hAnsiTheme="minorHAnsi" w:cs="Arial CE"/>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Pr="00CF7047" w:rsidRDefault="0089234F" w:rsidP="00930A5D">
            <w:pPr>
              <w:pStyle w:val="Odstavecseseznamem"/>
              <w:ind w:left="0"/>
              <w:jc w:val="both"/>
              <w:rPr>
                <w:color w:val="365F91" w:themeColor="accent1" w:themeShade="BF"/>
                <w:sz w:val="20"/>
                <w:szCs w:val="20"/>
              </w:rPr>
            </w:pPr>
            <w:r w:rsidRPr="00CF7047">
              <w:rPr>
                <w:color w:val="365F91" w:themeColor="accent1" w:themeShade="BF"/>
                <w:sz w:val="20"/>
                <w:szCs w:val="20"/>
              </w:rPr>
              <w:t xml:space="preserve">Informace o výzvě jsou zveřejněny zde </w:t>
            </w:r>
            <w:hyperlink r:id="rId8" w:history="1">
              <w:r w:rsidRPr="00CF7047">
                <w:rPr>
                  <w:rStyle w:val="Hypertextovodkaz"/>
                  <w:color w:val="365F91" w:themeColor="accent1" w:themeShade="BF"/>
                  <w:sz w:val="20"/>
                  <w:szCs w:val="20"/>
                </w:rPr>
                <w:t>http://www.dotaceeu.cz/cs/Microsites/IROP/Vyzvy/Vyhlaseni-vyzvy-c-4-Aktivity</w:t>
              </w:r>
            </w:hyperlink>
            <w:r w:rsidRPr="00CF7047">
              <w:rPr>
                <w:color w:val="365F91" w:themeColor="accent1" w:themeShade="BF"/>
                <w:sz w:val="20"/>
                <w:szCs w:val="20"/>
              </w:rPr>
              <w:t xml:space="preserve"> Podrobnější informace Vám podají pracovníci CRR http://www.crr.cz/cs/crr/kontakty-irop/</w:t>
            </w:r>
          </w:p>
        </w:tc>
      </w:tr>
    </w:tbl>
    <w:p w:rsidR="0040315B" w:rsidRPr="0040315B" w:rsidRDefault="0040315B" w:rsidP="0040315B">
      <w:pPr>
        <w:pStyle w:val="Odstavecseseznamem"/>
        <w:ind w:left="284"/>
        <w:jc w:val="both"/>
        <w:rPr>
          <w:rFonts w:asciiTheme="minorHAnsi" w:hAnsiTheme="minorHAnsi"/>
          <w:sz w:val="20"/>
          <w:szCs w:val="20"/>
        </w:rPr>
      </w:pPr>
    </w:p>
    <w:p w:rsidR="0040315B" w:rsidRPr="00984020" w:rsidRDefault="00DF54C5" w:rsidP="0040315B">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cs="Arial CE"/>
          <w:sz w:val="20"/>
          <w:szCs w:val="20"/>
        </w:rPr>
        <w:t xml:space="preserve">Minimální příspěvek na projekt  </w:t>
      </w:r>
    </w:p>
    <w:p w:rsidR="00984020" w:rsidRDefault="00984020" w:rsidP="00984020">
      <w:pPr>
        <w:pStyle w:val="Odstavecseseznamem"/>
        <w:ind w:left="284"/>
        <w:jc w:val="both"/>
        <w:rPr>
          <w:rFonts w:asciiTheme="minorHAnsi" w:hAnsiTheme="minorHAnsi"/>
          <w:sz w:val="20"/>
          <w:szCs w:val="20"/>
        </w:rPr>
      </w:pPr>
    </w:p>
    <w:p w:rsidR="0040315B" w:rsidRPr="0040315B" w:rsidRDefault="0040315B" w:rsidP="0040315B">
      <w:pPr>
        <w:pStyle w:val="Odstavecseseznamem"/>
        <w:ind w:left="284"/>
        <w:jc w:val="both"/>
        <w:rPr>
          <w:rFonts w:asciiTheme="minorHAnsi" w:hAnsiTheme="minorHAnsi"/>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40315B" w:rsidTr="00930A5D">
        <w:tc>
          <w:tcPr>
            <w:tcW w:w="8896" w:type="dxa"/>
          </w:tcPr>
          <w:p w:rsidR="0040315B" w:rsidRDefault="0089234F" w:rsidP="00CF7047">
            <w:pPr>
              <w:rPr>
                <w:color w:val="000000" w:themeColor="text1"/>
                <w:sz w:val="20"/>
                <w:szCs w:val="20"/>
              </w:rPr>
            </w:pPr>
            <w:r w:rsidRPr="00CF7047">
              <w:rPr>
                <w:rFonts w:asciiTheme="minorHAnsi" w:hAnsiTheme="minorHAnsi" w:cs="Arial"/>
                <w:color w:val="365F91" w:themeColor="accent1" w:themeShade="BF"/>
                <w:sz w:val="20"/>
                <w:szCs w:val="20"/>
              </w:rPr>
              <w:t>Minimální výše celkových způsobilých výdajů projektu vč. DPH byl</w:t>
            </w:r>
            <w:r w:rsidR="00BA5207" w:rsidRPr="00CF7047">
              <w:rPr>
                <w:rFonts w:asciiTheme="minorHAnsi" w:hAnsiTheme="minorHAnsi" w:cs="Arial"/>
                <w:color w:val="365F91" w:themeColor="accent1" w:themeShade="BF"/>
                <w:sz w:val="20"/>
                <w:szCs w:val="20"/>
              </w:rPr>
              <w:t>a</w:t>
            </w:r>
            <w:r w:rsidRPr="00CF7047">
              <w:rPr>
                <w:rFonts w:asciiTheme="minorHAnsi" w:hAnsiTheme="minorHAnsi" w:cs="Arial"/>
                <w:color w:val="365F91" w:themeColor="accent1" w:themeShade="BF"/>
                <w:sz w:val="20"/>
                <w:szCs w:val="20"/>
              </w:rPr>
              <w:t xml:space="preserve"> ve 4. </w:t>
            </w:r>
            <w:r w:rsidR="00930A5D" w:rsidRPr="00CF7047">
              <w:rPr>
                <w:rFonts w:asciiTheme="minorHAnsi" w:hAnsiTheme="minorHAnsi" w:cs="Arial"/>
                <w:color w:val="365F91" w:themeColor="accent1" w:themeShade="BF"/>
                <w:sz w:val="20"/>
                <w:szCs w:val="20"/>
              </w:rPr>
              <w:t>v</w:t>
            </w:r>
            <w:r w:rsidRPr="00CF7047">
              <w:rPr>
                <w:rFonts w:asciiTheme="minorHAnsi" w:hAnsiTheme="minorHAnsi" w:cs="Arial"/>
                <w:color w:val="365F91" w:themeColor="accent1" w:themeShade="BF"/>
                <w:sz w:val="20"/>
                <w:szCs w:val="20"/>
              </w:rPr>
              <w:t>ýzvě stanoven</w:t>
            </w:r>
            <w:r w:rsidR="00BA5207" w:rsidRPr="00CF7047">
              <w:rPr>
                <w:rFonts w:asciiTheme="minorHAnsi" w:hAnsiTheme="minorHAnsi" w:cs="Arial"/>
                <w:color w:val="365F91" w:themeColor="accent1" w:themeShade="BF"/>
                <w:sz w:val="20"/>
                <w:szCs w:val="20"/>
              </w:rPr>
              <w:t>a</w:t>
            </w:r>
            <w:r w:rsidRPr="00CF7047">
              <w:rPr>
                <w:rFonts w:asciiTheme="minorHAnsi" w:hAnsiTheme="minorHAnsi" w:cs="Arial"/>
                <w:color w:val="365F91" w:themeColor="accent1" w:themeShade="BF"/>
                <w:sz w:val="20"/>
                <w:szCs w:val="20"/>
              </w:rPr>
              <w:t xml:space="preserve"> na 3 000 000 Kč.</w:t>
            </w:r>
            <w:r w:rsidR="00BA5207" w:rsidRPr="00CF7047">
              <w:rPr>
                <w:rFonts w:asciiTheme="minorHAnsi" w:hAnsiTheme="minorHAnsi" w:cs="Arial"/>
                <w:color w:val="365F91" w:themeColor="accent1" w:themeShade="BF"/>
                <w:sz w:val="20"/>
                <w:szCs w:val="20"/>
              </w:rPr>
              <w:t xml:space="preserve"> Příspěvek pro kraje nebo obce z EFRR  činí 85 % a příspěvek ze státního rozpočtu 5 %.</w:t>
            </w:r>
          </w:p>
        </w:tc>
      </w:tr>
    </w:tbl>
    <w:p w:rsidR="0040315B" w:rsidRPr="0040315B" w:rsidRDefault="0040315B" w:rsidP="0040315B">
      <w:pPr>
        <w:pStyle w:val="Odstavecseseznamem"/>
        <w:ind w:left="284"/>
        <w:jc w:val="both"/>
        <w:rPr>
          <w:rFonts w:asciiTheme="minorHAnsi" w:hAnsiTheme="minorHAnsi" w:cs="Arial"/>
          <w:sz w:val="20"/>
          <w:szCs w:val="20"/>
        </w:rPr>
      </w:pPr>
    </w:p>
    <w:p w:rsidR="0040315B" w:rsidRPr="00711023" w:rsidRDefault="00AD4F10" w:rsidP="0040315B">
      <w:pPr>
        <w:pStyle w:val="Odstavecseseznamem"/>
        <w:numPr>
          <w:ilvl w:val="0"/>
          <w:numId w:val="2"/>
        </w:numPr>
        <w:ind w:left="284" w:hanging="284"/>
        <w:jc w:val="both"/>
        <w:rPr>
          <w:rFonts w:asciiTheme="minorHAnsi" w:hAnsiTheme="minorHAnsi" w:cs="Arial"/>
          <w:sz w:val="20"/>
          <w:szCs w:val="20"/>
        </w:rPr>
      </w:pPr>
      <w:r w:rsidRPr="00711023">
        <w:rPr>
          <w:rFonts w:asciiTheme="minorHAnsi" w:hAnsiTheme="minorHAnsi"/>
          <w:sz w:val="20"/>
          <w:szCs w:val="20"/>
        </w:rPr>
        <w:t>„</w:t>
      </w:r>
      <w:r w:rsidR="0014660C" w:rsidRPr="00711023">
        <w:rPr>
          <w:rFonts w:asciiTheme="minorHAnsi" w:hAnsiTheme="minorHAnsi"/>
          <w:sz w:val="20"/>
          <w:szCs w:val="20"/>
        </w:rPr>
        <w:t>N</w:t>
      </w:r>
      <w:r w:rsidR="00DF54C5" w:rsidRPr="00711023">
        <w:rPr>
          <w:rFonts w:asciiTheme="minorHAnsi" w:hAnsiTheme="minorHAnsi"/>
          <w:sz w:val="20"/>
          <w:szCs w:val="20"/>
        </w:rPr>
        <w:t>ašeho zástupce v</w:t>
      </w:r>
      <w:r w:rsidR="002A64F1" w:rsidRPr="00711023">
        <w:rPr>
          <w:rFonts w:asciiTheme="minorHAnsi" w:hAnsiTheme="minorHAnsi"/>
          <w:sz w:val="20"/>
          <w:szCs w:val="20"/>
        </w:rPr>
        <w:t> monitorovacím výboru a pracovní</w:t>
      </w:r>
      <w:r w:rsidR="00DF54C5" w:rsidRPr="00711023">
        <w:rPr>
          <w:rFonts w:asciiTheme="minorHAnsi" w:hAnsiTheme="minorHAnsi"/>
          <w:sz w:val="20"/>
          <w:szCs w:val="20"/>
        </w:rPr>
        <w:t xml:space="preserve"> skupině pro tyto výzv</w:t>
      </w:r>
      <w:r w:rsidR="003852A3" w:rsidRPr="00711023">
        <w:rPr>
          <w:rFonts w:asciiTheme="minorHAnsi" w:hAnsiTheme="minorHAnsi"/>
          <w:sz w:val="20"/>
          <w:szCs w:val="20"/>
        </w:rPr>
        <w:t xml:space="preserve">y (vedoucí odboru informatiky) </w:t>
      </w:r>
      <w:r w:rsidR="00DF54C5" w:rsidRPr="00711023">
        <w:rPr>
          <w:rFonts w:asciiTheme="minorHAnsi" w:hAnsiTheme="minorHAnsi"/>
          <w:sz w:val="20"/>
          <w:szCs w:val="20"/>
        </w:rPr>
        <w:t>sběr abkap</w:t>
      </w:r>
      <w:r w:rsidR="003852A3" w:rsidRPr="00711023">
        <w:rPr>
          <w:rFonts w:asciiTheme="minorHAnsi" w:hAnsiTheme="minorHAnsi"/>
          <w:sz w:val="20"/>
          <w:szCs w:val="20"/>
        </w:rPr>
        <w:t>.</w:t>
      </w:r>
      <w:r w:rsidR="00DF54C5" w:rsidRPr="00711023">
        <w:rPr>
          <w:rFonts w:asciiTheme="minorHAnsi" w:hAnsiTheme="minorHAnsi"/>
          <w:sz w:val="20"/>
          <w:szCs w:val="20"/>
        </w:rPr>
        <w:t xml:space="preserve"> celkem překvapil;  prý paralelně běží monitorování abkap přes AKČR; do výzvy č. 4 n</w:t>
      </w:r>
      <w:r w:rsidR="002A64F1" w:rsidRPr="00711023">
        <w:rPr>
          <w:rFonts w:asciiTheme="minorHAnsi" w:hAnsiTheme="minorHAnsi"/>
          <w:sz w:val="20"/>
          <w:szCs w:val="20"/>
        </w:rPr>
        <w:t>ic z regionu neplánujeme, stejně</w:t>
      </w:r>
      <w:r w:rsidR="00DF54C5" w:rsidRPr="00711023">
        <w:rPr>
          <w:rFonts w:asciiTheme="minorHAnsi" w:hAnsiTheme="minorHAnsi"/>
          <w:sz w:val="20"/>
          <w:szCs w:val="20"/>
        </w:rPr>
        <w:t xml:space="preserve"> jako skoro celá republika. Prý jde o poněkud zmatečnou výzvu, kterou si vynutilo MV a</w:t>
      </w:r>
      <w:r w:rsidR="001F692A" w:rsidRPr="00711023">
        <w:rPr>
          <w:rFonts w:asciiTheme="minorHAnsi" w:hAnsiTheme="minorHAnsi"/>
          <w:sz w:val="20"/>
          <w:szCs w:val="20"/>
        </w:rPr>
        <w:t> </w:t>
      </w:r>
      <w:r w:rsidR="00DF54C5" w:rsidRPr="00711023">
        <w:rPr>
          <w:rFonts w:asciiTheme="minorHAnsi" w:hAnsiTheme="minorHAnsi"/>
          <w:sz w:val="20"/>
          <w:szCs w:val="20"/>
        </w:rPr>
        <w:t>minula se v</w:t>
      </w:r>
      <w:r w:rsidR="001F692A" w:rsidRPr="00711023">
        <w:rPr>
          <w:rFonts w:asciiTheme="minorHAnsi" w:hAnsiTheme="minorHAnsi"/>
          <w:sz w:val="20"/>
          <w:szCs w:val="20"/>
        </w:rPr>
        <w:t> čase“.</w:t>
      </w:r>
    </w:p>
    <w:p w:rsidR="00711023" w:rsidRPr="00711023" w:rsidRDefault="00711023" w:rsidP="00711023">
      <w:pPr>
        <w:pStyle w:val="Odstavecseseznamem"/>
        <w:ind w:left="284"/>
        <w:jc w:val="both"/>
        <w:rPr>
          <w:rFonts w:asciiTheme="minorHAnsi" w:hAnsiTheme="minorHAnsi" w:cs="Arial"/>
          <w:sz w:val="20"/>
          <w:szCs w:val="20"/>
          <w:highlight w:val="yellow"/>
        </w:rPr>
      </w:pPr>
    </w:p>
    <w:p w:rsidR="00711023" w:rsidRPr="0040315B" w:rsidRDefault="00711023" w:rsidP="00711023">
      <w:pPr>
        <w:pStyle w:val="Odstavecseseznamem"/>
        <w:numPr>
          <w:ilvl w:val="0"/>
          <w:numId w:val="2"/>
        </w:numPr>
        <w:jc w:val="both"/>
        <w:rPr>
          <w:rFonts w:asciiTheme="minorHAnsi" w:hAnsiTheme="minorHAnsi"/>
          <w:sz w:val="20"/>
          <w:szCs w:val="20"/>
        </w:rPr>
      </w:pPr>
      <w:r w:rsidRPr="0040315B">
        <w:rPr>
          <w:b/>
          <w:color w:val="000000" w:themeColor="text1"/>
          <w:sz w:val="20"/>
          <w:szCs w:val="20"/>
        </w:rPr>
        <w:t>Reakce ŘO IROP</w:t>
      </w:r>
    </w:p>
    <w:tbl>
      <w:tblPr>
        <w:tblStyle w:val="Mkatabulky"/>
        <w:tblW w:w="0" w:type="auto"/>
        <w:tblInd w:w="392" w:type="dxa"/>
        <w:tblLook w:val="04A0"/>
      </w:tblPr>
      <w:tblGrid>
        <w:gridCol w:w="8896"/>
      </w:tblGrid>
      <w:tr w:rsidR="00711023" w:rsidTr="00CF189D">
        <w:tc>
          <w:tcPr>
            <w:tcW w:w="8896" w:type="dxa"/>
          </w:tcPr>
          <w:p w:rsidR="00711023" w:rsidRPr="00711023" w:rsidRDefault="00711023" w:rsidP="00711023">
            <w:pPr>
              <w:rPr>
                <w:rFonts w:asciiTheme="minorHAnsi" w:hAnsiTheme="minorHAnsi" w:cs="Arial"/>
                <w:color w:val="365F91" w:themeColor="accent1" w:themeShade="BF"/>
                <w:sz w:val="20"/>
                <w:szCs w:val="20"/>
              </w:rPr>
            </w:pPr>
            <w:r w:rsidRPr="00711023">
              <w:rPr>
                <w:rFonts w:asciiTheme="minorHAnsi" w:hAnsiTheme="minorHAnsi" w:cs="Arial"/>
                <w:color w:val="365F91" w:themeColor="accent1" w:themeShade="BF"/>
                <w:sz w:val="20"/>
                <w:szCs w:val="20"/>
              </w:rPr>
              <w:t>V rámci pracovního týmu SC 3.2 proběhl průzkum ve spolupráci se zástupcem SMOČR, rovněž v rámci PT SC 3.2 probíhá kontinuální průzkum absorpční kapacity mezi krajskými úřady ve spolupráci se zástupcem AK ČR.</w:t>
            </w:r>
          </w:p>
          <w:p w:rsidR="00711023" w:rsidRPr="00711023" w:rsidRDefault="00711023" w:rsidP="00711023">
            <w:pPr>
              <w:rPr>
                <w:color w:val="000000" w:themeColor="text1"/>
                <w:sz w:val="20"/>
                <w:szCs w:val="20"/>
              </w:rPr>
            </w:pPr>
            <w:r w:rsidRPr="00711023">
              <w:rPr>
                <w:rFonts w:asciiTheme="minorHAnsi" w:hAnsiTheme="minorHAnsi" w:cs="Arial"/>
                <w:color w:val="365F91" w:themeColor="accent1" w:themeShade="BF"/>
                <w:sz w:val="20"/>
                <w:szCs w:val="20"/>
              </w:rPr>
              <w:t>Výzva č. 4 byla vyhlášena na základě požadavků věcného garanta Ministerstva vnitra ČR, které do této průběžné výzvy, která je otevřena až do 30. 6. 2017, plánuje podat páteřní projekty úplného elektronického podání, na které by měly navázat projekty krajů a obcí. Kraje a obce rovněž mohou nezávisle na projektech MV ČR podávat své vlastní projekty v samostatné působnosti.</w:t>
            </w:r>
          </w:p>
        </w:tc>
      </w:tr>
    </w:tbl>
    <w:p w:rsidR="00711023" w:rsidRPr="00711023" w:rsidRDefault="00711023" w:rsidP="00711023">
      <w:pPr>
        <w:pStyle w:val="Odstavecseseznamem"/>
        <w:ind w:left="284"/>
        <w:jc w:val="both"/>
        <w:rPr>
          <w:rFonts w:asciiTheme="minorHAnsi" w:hAnsiTheme="minorHAnsi" w:cs="Arial"/>
          <w:sz w:val="20"/>
          <w:szCs w:val="20"/>
          <w:highlight w:val="yellow"/>
        </w:rPr>
      </w:pPr>
    </w:p>
    <w:p w:rsidR="00984020" w:rsidRDefault="00984020" w:rsidP="00984020">
      <w:pPr>
        <w:pStyle w:val="Odstavecseseznamem"/>
        <w:ind w:left="284"/>
        <w:jc w:val="both"/>
        <w:rPr>
          <w:rFonts w:asciiTheme="minorHAnsi" w:hAnsiTheme="minorHAnsi" w:cs="Arial"/>
          <w:sz w:val="20"/>
          <w:szCs w:val="20"/>
        </w:rPr>
      </w:pPr>
    </w:p>
    <w:p w:rsidR="00F6232E" w:rsidRPr="001F692A" w:rsidRDefault="00541ABA" w:rsidP="001F692A">
      <w:pPr>
        <w:rPr>
          <w:rFonts w:asciiTheme="minorHAnsi" w:hAnsiTheme="minorHAnsi"/>
          <w:b/>
          <w:bCs/>
          <w:sz w:val="20"/>
          <w:szCs w:val="20"/>
        </w:rPr>
      </w:pPr>
      <w:r w:rsidRPr="001F692A">
        <w:rPr>
          <w:rFonts w:asciiTheme="minorHAnsi" w:hAnsiTheme="minorHAnsi"/>
          <w:b/>
          <w:bCs/>
          <w:sz w:val="20"/>
          <w:szCs w:val="20"/>
        </w:rPr>
        <w:t>SC 3.3 ú</w:t>
      </w:r>
      <w:r w:rsidR="00F6232E" w:rsidRPr="001F692A">
        <w:rPr>
          <w:rFonts w:asciiTheme="minorHAnsi" w:hAnsiTheme="minorHAnsi"/>
          <w:b/>
          <w:bCs/>
          <w:sz w:val="20"/>
          <w:szCs w:val="20"/>
        </w:rPr>
        <w:t>zemní plány,</w:t>
      </w:r>
      <w:r w:rsidRPr="001F692A">
        <w:rPr>
          <w:rFonts w:asciiTheme="minorHAnsi" w:hAnsiTheme="minorHAnsi"/>
          <w:b/>
          <w:bCs/>
          <w:sz w:val="20"/>
          <w:szCs w:val="20"/>
        </w:rPr>
        <w:t xml:space="preserve"> regulační plány, územní studie</w:t>
      </w:r>
    </w:p>
    <w:p w:rsidR="00F6232E" w:rsidRDefault="00F6232E" w:rsidP="001F692A">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ORP navrhují u ÚP, RP a ÚS rozšířit oblast oprávněných žadatelů i na další větší obce</w:t>
      </w:r>
    </w:p>
    <w:p w:rsidR="00984020" w:rsidRDefault="00984020" w:rsidP="00984020">
      <w:pPr>
        <w:pStyle w:val="Odstavecseseznamem"/>
        <w:ind w:left="284"/>
        <w:jc w:val="both"/>
        <w:rPr>
          <w:rFonts w:asciiTheme="minorHAnsi" w:hAnsiTheme="minorHAnsi" w:cs="Arial"/>
          <w:sz w:val="20"/>
          <w:szCs w:val="20"/>
        </w:rPr>
      </w:pPr>
    </w:p>
    <w:p w:rsidR="00ED013C" w:rsidRPr="00ED013C" w:rsidRDefault="00ED013C" w:rsidP="00ED013C">
      <w:pPr>
        <w:pStyle w:val="Odstavecseseznamem"/>
        <w:ind w:left="284"/>
        <w:jc w:val="both"/>
        <w:rPr>
          <w:rFonts w:asciiTheme="minorHAnsi" w:hAnsiTheme="minorHAnsi" w:cs="Arial"/>
          <w:b/>
          <w:sz w:val="20"/>
          <w:szCs w:val="20"/>
        </w:rPr>
      </w:pPr>
      <w:r w:rsidRPr="00ED013C">
        <w:rPr>
          <w:rFonts w:asciiTheme="minorHAnsi" w:hAnsiTheme="minorHAnsi" w:cs="Arial"/>
          <w:b/>
          <w:sz w:val="20"/>
          <w:szCs w:val="20"/>
        </w:rPr>
        <w:t>Reakce ŘO IROP</w:t>
      </w:r>
    </w:p>
    <w:tbl>
      <w:tblPr>
        <w:tblStyle w:val="Mkatabulky"/>
        <w:tblW w:w="0" w:type="auto"/>
        <w:tblInd w:w="392" w:type="dxa"/>
        <w:tblLook w:val="04A0"/>
      </w:tblPr>
      <w:tblGrid>
        <w:gridCol w:w="8820"/>
      </w:tblGrid>
      <w:tr w:rsidR="00ED013C" w:rsidTr="00ED013C">
        <w:tc>
          <w:tcPr>
            <w:tcW w:w="8820" w:type="dxa"/>
          </w:tcPr>
          <w:p w:rsidR="00ED013C" w:rsidRPr="00CF7047" w:rsidRDefault="00930A5D" w:rsidP="0048678A">
            <w:pPr>
              <w:pStyle w:val="Odstavecseseznamem"/>
              <w:ind w:left="0"/>
              <w:jc w:val="both"/>
              <w:rPr>
                <w:color w:val="365F91" w:themeColor="accent1" w:themeShade="BF"/>
                <w:sz w:val="20"/>
                <w:szCs w:val="20"/>
              </w:rPr>
            </w:pPr>
            <w:r w:rsidRPr="00CF7047">
              <w:rPr>
                <w:color w:val="365F91" w:themeColor="accent1" w:themeShade="BF"/>
                <w:sz w:val="20"/>
                <w:szCs w:val="20"/>
              </w:rPr>
              <w:t>Př</w:t>
            </w:r>
            <w:r w:rsidR="00ED013C" w:rsidRPr="00CF7047">
              <w:rPr>
                <w:color w:val="365F91" w:themeColor="accent1" w:themeShade="BF"/>
                <w:sz w:val="20"/>
                <w:szCs w:val="20"/>
              </w:rPr>
              <w:t xml:space="preserve">i vyjednávání programu se řešil širší okruh žadatelů (obce, kraje), ale Evropská komise </w:t>
            </w:r>
            <w:r w:rsidR="0089234F" w:rsidRPr="00CF7047">
              <w:rPr>
                <w:color w:val="365F91" w:themeColor="accent1" w:themeShade="BF"/>
                <w:sz w:val="20"/>
                <w:szCs w:val="20"/>
              </w:rPr>
              <w:t>souhlasila s podporou pouze</w:t>
            </w:r>
            <w:r w:rsidR="00ED013C" w:rsidRPr="00CF7047">
              <w:rPr>
                <w:color w:val="365F91" w:themeColor="accent1" w:themeShade="BF"/>
                <w:sz w:val="20"/>
                <w:szCs w:val="20"/>
              </w:rPr>
              <w:t xml:space="preserve"> </w:t>
            </w:r>
            <w:r w:rsidRPr="00CF7047">
              <w:rPr>
                <w:color w:val="365F91" w:themeColor="accent1" w:themeShade="BF"/>
                <w:sz w:val="20"/>
                <w:szCs w:val="20"/>
              </w:rPr>
              <w:t xml:space="preserve">pro </w:t>
            </w:r>
            <w:r w:rsidR="00ED013C" w:rsidRPr="00CF7047">
              <w:rPr>
                <w:color w:val="365F91" w:themeColor="accent1" w:themeShade="BF"/>
                <w:sz w:val="20"/>
                <w:szCs w:val="20"/>
              </w:rPr>
              <w:t xml:space="preserve">ORP. Kdyby nebyla akceptována tato možnost (pouze ORP), </w:t>
            </w:r>
            <w:r w:rsidR="0089234F" w:rsidRPr="00CF7047">
              <w:rPr>
                <w:color w:val="365F91" w:themeColor="accent1" w:themeShade="BF"/>
                <w:sz w:val="20"/>
                <w:szCs w:val="20"/>
              </w:rPr>
              <w:t>nebyl</w:t>
            </w:r>
            <w:r w:rsidR="00ED013C" w:rsidRPr="00CF7047">
              <w:rPr>
                <w:color w:val="365F91" w:themeColor="accent1" w:themeShade="BF"/>
                <w:sz w:val="20"/>
                <w:szCs w:val="20"/>
              </w:rPr>
              <w:t xml:space="preserve"> by tento spe</w:t>
            </w:r>
            <w:r w:rsidR="0089234F" w:rsidRPr="00CF7047">
              <w:rPr>
                <w:color w:val="365F91" w:themeColor="accent1" w:themeShade="BF"/>
                <w:sz w:val="20"/>
                <w:szCs w:val="20"/>
              </w:rPr>
              <w:t>cifický cíl vůbec podpořen.</w:t>
            </w:r>
          </w:p>
        </w:tc>
      </w:tr>
    </w:tbl>
    <w:p w:rsidR="00ED013C" w:rsidRPr="00ED013C" w:rsidRDefault="00ED013C" w:rsidP="00ED013C">
      <w:pPr>
        <w:jc w:val="both"/>
        <w:rPr>
          <w:rFonts w:asciiTheme="minorHAnsi" w:hAnsiTheme="minorHAnsi" w:cs="Arial"/>
          <w:sz w:val="20"/>
          <w:szCs w:val="20"/>
        </w:rPr>
      </w:pPr>
    </w:p>
    <w:p w:rsidR="00F6232E" w:rsidRDefault="00F6232E" w:rsidP="001F692A">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ORP poukazují na nastavení vysoké minimální výše celkových způsobilých výdajů u ÚP, RP a ÚS</w:t>
      </w:r>
    </w:p>
    <w:p w:rsidR="00984020" w:rsidRDefault="00984020" w:rsidP="00984020">
      <w:pPr>
        <w:pStyle w:val="Odstavecseseznamem"/>
        <w:ind w:left="284"/>
        <w:jc w:val="both"/>
        <w:rPr>
          <w:rFonts w:asciiTheme="minorHAnsi" w:hAnsiTheme="minorHAnsi" w:cs="Arial"/>
          <w:sz w:val="20"/>
          <w:szCs w:val="20"/>
        </w:rPr>
      </w:pPr>
    </w:p>
    <w:p w:rsidR="00ED013C" w:rsidRPr="00ED013C" w:rsidRDefault="00ED013C" w:rsidP="00ED013C">
      <w:pPr>
        <w:pStyle w:val="Odstavecseseznamem"/>
        <w:ind w:left="284"/>
        <w:jc w:val="both"/>
        <w:rPr>
          <w:rFonts w:asciiTheme="minorHAnsi" w:hAnsiTheme="minorHAnsi" w:cs="Arial"/>
          <w:b/>
          <w:sz w:val="20"/>
          <w:szCs w:val="20"/>
        </w:rPr>
      </w:pPr>
      <w:r w:rsidRPr="00ED013C">
        <w:rPr>
          <w:rFonts w:asciiTheme="minorHAnsi" w:hAnsiTheme="minorHAnsi" w:cs="Arial"/>
          <w:b/>
          <w:sz w:val="20"/>
          <w:szCs w:val="20"/>
        </w:rPr>
        <w:t>Reakce ŘO IROP</w:t>
      </w:r>
    </w:p>
    <w:tbl>
      <w:tblPr>
        <w:tblStyle w:val="Mkatabulky"/>
        <w:tblW w:w="0" w:type="auto"/>
        <w:tblInd w:w="392" w:type="dxa"/>
        <w:tblLook w:val="04A0"/>
      </w:tblPr>
      <w:tblGrid>
        <w:gridCol w:w="8896"/>
      </w:tblGrid>
      <w:tr w:rsidR="00ED013C" w:rsidTr="00ED013C">
        <w:tc>
          <w:tcPr>
            <w:tcW w:w="8896" w:type="dxa"/>
          </w:tcPr>
          <w:p w:rsidR="00ED013C" w:rsidRPr="00CF7047" w:rsidRDefault="00ED013C" w:rsidP="00CF7047">
            <w:pPr>
              <w:pStyle w:val="Odstavecseseznamem"/>
              <w:ind w:left="0"/>
              <w:jc w:val="both"/>
              <w:rPr>
                <w:rFonts w:asciiTheme="minorHAnsi" w:hAnsiTheme="minorHAnsi" w:cs="Arial"/>
                <w:color w:val="365F91" w:themeColor="accent1" w:themeShade="BF"/>
                <w:sz w:val="20"/>
                <w:szCs w:val="20"/>
              </w:rPr>
            </w:pPr>
            <w:r w:rsidRPr="00CF7047">
              <w:rPr>
                <w:color w:val="365F91" w:themeColor="accent1" w:themeShade="BF"/>
                <w:sz w:val="20"/>
                <w:szCs w:val="20"/>
              </w:rPr>
              <w:t>Limity minimálních výdajů jsou nastaveny s ohledem na efektivnosti projektů a náklad</w:t>
            </w:r>
            <w:r w:rsidR="00930A5D" w:rsidRPr="00CF7047">
              <w:rPr>
                <w:color w:val="365F91" w:themeColor="accent1" w:themeShade="BF"/>
                <w:sz w:val="20"/>
                <w:szCs w:val="20"/>
              </w:rPr>
              <w:t>y na</w:t>
            </w:r>
            <w:r w:rsidRPr="00CF7047">
              <w:rPr>
                <w:color w:val="365F91" w:themeColor="accent1" w:themeShade="BF"/>
                <w:sz w:val="20"/>
                <w:szCs w:val="20"/>
              </w:rPr>
              <w:t xml:space="preserve"> administraci projektů. V</w:t>
            </w:r>
            <w:r w:rsidR="00930A5D" w:rsidRPr="00CF7047">
              <w:rPr>
                <w:color w:val="365F91" w:themeColor="accent1" w:themeShade="BF"/>
                <w:sz w:val="20"/>
                <w:szCs w:val="20"/>
              </w:rPr>
              <w:t>e</w:t>
            </w:r>
            <w:r w:rsidRPr="00CF7047">
              <w:rPr>
                <w:color w:val="365F91" w:themeColor="accent1" w:themeShade="BF"/>
                <w:sz w:val="20"/>
                <w:szCs w:val="20"/>
              </w:rPr>
              <w:t> 3. výzv</w:t>
            </w:r>
            <w:r w:rsidR="00930A5D" w:rsidRPr="00CF7047">
              <w:rPr>
                <w:color w:val="365F91" w:themeColor="accent1" w:themeShade="BF"/>
                <w:sz w:val="20"/>
                <w:szCs w:val="20"/>
              </w:rPr>
              <w:t>ě</w:t>
            </w:r>
            <w:r w:rsidRPr="00CF7047">
              <w:rPr>
                <w:color w:val="365F91" w:themeColor="accent1" w:themeShade="BF"/>
                <w:sz w:val="20"/>
                <w:szCs w:val="20"/>
              </w:rPr>
              <w:t xml:space="preserve"> (RP) a 9. výzv</w:t>
            </w:r>
            <w:r w:rsidR="00930A5D" w:rsidRPr="00CF7047">
              <w:rPr>
                <w:color w:val="365F91" w:themeColor="accent1" w:themeShade="BF"/>
                <w:sz w:val="20"/>
                <w:szCs w:val="20"/>
              </w:rPr>
              <w:t>ě</w:t>
            </w:r>
            <w:r w:rsidRPr="00CF7047">
              <w:rPr>
                <w:color w:val="365F91" w:themeColor="accent1" w:themeShade="BF"/>
                <w:sz w:val="20"/>
                <w:szCs w:val="20"/>
              </w:rPr>
              <w:t xml:space="preserve"> (ÚS) mohou projekty obsahovat zpracování </w:t>
            </w:r>
            <w:r w:rsidR="00930A5D" w:rsidRPr="00CF7047">
              <w:rPr>
                <w:color w:val="365F91" w:themeColor="accent1" w:themeShade="BF"/>
                <w:sz w:val="20"/>
                <w:szCs w:val="20"/>
              </w:rPr>
              <w:t xml:space="preserve">několika </w:t>
            </w:r>
            <w:r w:rsidRPr="00CF7047">
              <w:rPr>
                <w:color w:val="365F91" w:themeColor="accent1" w:themeShade="BF"/>
                <w:sz w:val="20"/>
                <w:szCs w:val="20"/>
              </w:rPr>
              <w:t>různých dokumentů. Limity jsou nastaveny pro projekt jako celek, nikoliv pro jednotlivé dokumenty.</w:t>
            </w:r>
          </w:p>
        </w:tc>
      </w:tr>
    </w:tbl>
    <w:p w:rsidR="00ED013C" w:rsidRPr="001F692A" w:rsidRDefault="00ED013C" w:rsidP="00ED013C">
      <w:pPr>
        <w:pStyle w:val="Odstavecseseznamem"/>
        <w:ind w:left="284"/>
        <w:jc w:val="both"/>
        <w:rPr>
          <w:rFonts w:asciiTheme="minorHAnsi" w:hAnsiTheme="minorHAnsi" w:cs="Arial"/>
          <w:sz w:val="20"/>
          <w:szCs w:val="20"/>
        </w:rPr>
      </w:pPr>
    </w:p>
    <w:p w:rsidR="001A0E1E" w:rsidRDefault="00F6232E" w:rsidP="001A0E1E">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ORP chybí metodika pro Zadání regulačního plánu z podnětu nenahrazující územní rozhodnutí a metodika pro Zadání územní studie krajiny</w:t>
      </w:r>
    </w:p>
    <w:p w:rsidR="001A0E1E" w:rsidRPr="001A0E1E" w:rsidRDefault="001A0E1E" w:rsidP="001A0E1E">
      <w:pPr>
        <w:pStyle w:val="Odstavecseseznamem"/>
        <w:ind w:left="284"/>
        <w:jc w:val="both"/>
        <w:rPr>
          <w:rFonts w:asciiTheme="minorHAnsi" w:hAnsiTheme="minorHAnsi" w:cs="Arial"/>
          <w:sz w:val="20"/>
          <w:szCs w:val="20"/>
        </w:rPr>
      </w:pPr>
      <w:r w:rsidRPr="001A0E1E">
        <w:rPr>
          <w:b/>
          <w:color w:val="000000" w:themeColor="text1"/>
          <w:sz w:val="20"/>
          <w:szCs w:val="20"/>
        </w:rPr>
        <w:t>Reakce ŘO IROP</w:t>
      </w:r>
    </w:p>
    <w:tbl>
      <w:tblPr>
        <w:tblStyle w:val="Mkatabulky"/>
        <w:tblW w:w="0" w:type="auto"/>
        <w:tblInd w:w="392" w:type="dxa"/>
        <w:tblLook w:val="04A0"/>
      </w:tblPr>
      <w:tblGrid>
        <w:gridCol w:w="8896"/>
      </w:tblGrid>
      <w:tr w:rsidR="001A0E1E" w:rsidTr="00930A5D">
        <w:tc>
          <w:tcPr>
            <w:tcW w:w="8896" w:type="dxa"/>
          </w:tcPr>
          <w:p w:rsidR="000370D7" w:rsidRPr="0089234F" w:rsidRDefault="0089234F" w:rsidP="0089234F">
            <w:pPr>
              <w:pStyle w:val="Odstavecseseznamem"/>
              <w:ind w:left="0"/>
              <w:jc w:val="both"/>
              <w:rPr>
                <w:color w:val="0070C0"/>
                <w:sz w:val="20"/>
                <w:szCs w:val="20"/>
              </w:rPr>
            </w:pPr>
            <w:r w:rsidRPr="00CF7047">
              <w:rPr>
                <w:color w:val="365F91" w:themeColor="accent1" w:themeShade="BF"/>
                <w:sz w:val="20"/>
                <w:szCs w:val="20"/>
              </w:rPr>
              <w:lastRenderedPageBreak/>
              <w:t>P</w:t>
            </w:r>
            <w:r w:rsidR="000370D7" w:rsidRPr="00CF7047">
              <w:rPr>
                <w:color w:val="365F91" w:themeColor="accent1" w:themeShade="BF"/>
                <w:sz w:val="20"/>
                <w:szCs w:val="20"/>
              </w:rPr>
              <w:t xml:space="preserve">ředpoklad vydání metodiky pro Zadání územní studie krajiny je </w:t>
            </w:r>
            <w:r w:rsidRPr="00CF7047">
              <w:rPr>
                <w:color w:val="365F91" w:themeColor="accent1" w:themeShade="BF"/>
                <w:sz w:val="20"/>
                <w:szCs w:val="20"/>
              </w:rPr>
              <w:t xml:space="preserve">podle Odboru územního plánování MMR </w:t>
            </w:r>
            <w:r w:rsidR="000370D7" w:rsidRPr="00CF7047">
              <w:rPr>
                <w:color w:val="365F91" w:themeColor="accent1" w:themeShade="BF"/>
                <w:sz w:val="20"/>
                <w:szCs w:val="20"/>
              </w:rPr>
              <w:t xml:space="preserve">do konce února 2016 a vydání </w:t>
            </w:r>
            <w:r w:rsidR="000370D7" w:rsidRPr="00CF7047">
              <w:rPr>
                <w:rFonts w:asciiTheme="minorHAnsi" w:hAnsiTheme="minorHAnsi" w:cs="Arial"/>
                <w:color w:val="365F91" w:themeColor="accent1" w:themeShade="BF"/>
                <w:sz w:val="20"/>
                <w:szCs w:val="20"/>
              </w:rPr>
              <w:t>metodiky pro Zadání regulačního plánu z podnětu nenahrazující územní rozhodnutí v březnu 2016.</w:t>
            </w:r>
          </w:p>
        </w:tc>
      </w:tr>
    </w:tbl>
    <w:p w:rsidR="001A0E1E" w:rsidRDefault="001A0E1E" w:rsidP="001A0E1E">
      <w:pPr>
        <w:pStyle w:val="Odstavecseseznamem"/>
        <w:ind w:left="284"/>
        <w:jc w:val="both"/>
        <w:rPr>
          <w:rFonts w:asciiTheme="minorHAnsi" w:hAnsiTheme="minorHAnsi"/>
          <w:sz w:val="20"/>
          <w:szCs w:val="20"/>
        </w:rPr>
      </w:pPr>
    </w:p>
    <w:p w:rsidR="001A0E1E" w:rsidRDefault="0014660C" w:rsidP="001A0E1E">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S</w:t>
      </w:r>
      <w:r w:rsidR="006D443E" w:rsidRPr="001F692A">
        <w:rPr>
          <w:rFonts w:asciiTheme="minorHAnsi" w:hAnsiTheme="minorHAnsi"/>
          <w:sz w:val="20"/>
          <w:szCs w:val="20"/>
        </w:rPr>
        <w:t>tudie krajiny možná</w:t>
      </w:r>
      <w:r w:rsidR="006D443E" w:rsidRPr="001F692A">
        <w:rPr>
          <w:rFonts w:asciiTheme="minorHAnsi" w:hAnsiTheme="minorHAnsi"/>
          <w:sz w:val="20"/>
          <w:szCs w:val="20"/>
        </w:rPr>
        <w:tab/>
        <w:t>- rozšíření oprávněných žadatelů i na další větší obce</w:t>
      </w:r>
    </w:p>
    <w:p w:rsidR="001A0E1E" w:rsidRPr="001A0E1E" w:rsidRDefault="001A0E1E" w:rsidP="001A0E1E">
      <w:pPr>
        <w:pStyle w:val="Odstavecseseznamem"/>
        <w:ind w:left="284"/>
        <w:jc w:val="both"/>
        <w:rPr>
          <w:rFonts w:asciiTheme="minorHAnsi" w:hAnsiTheme="minorHAnsi"/>
          <w:sz w:val="20"/>
          <w:szCs w:val="20"/>
        </w:rPr>
      </w:pPr>
      <w:r w:rsidRPr="001A0E1E">
        <w:rPr>
          <w:b/>
          <w:color w:val="000000" w:themeColor="text1"/>
          <w:sz w:val="20"/>
          <w:szCs w:val="20"/>
        </w:rPr>
        <w:t>Reakce ŘO IROP</w:t>
      </w:r>
    </w:p>
    <w:tbl>
      <w:tblPr>
        <w:tblStyle w:val="Mkatabulky"/>
        <w:tblW w:w="0" w:type="auto"/>
        <w:tblInd w:w="392" w:type="dxa"/>
        <w:tblLook w:val="04A0"/>
      </w:tblPr>
      <w:tblGrid>
        <w:gridCol w:w="8896"/>
      </w:tblGrid>
      <w:tr w:rsidR="001A0E1E" w:rsidTr="00930A5D">
        <w:tc>
          <w:tcPr>
            <w:tcW w:w="8896" w:type="dxa"/>
          </w:tcPr>
          <w:p w:rsidR="001A0E1E" w:rsidRDefault="00011EB4" w:rsidP="00930A5D">
            <w:pPr>
              <w:pStyle w:val="Odstavecseseznamem"/>
              <w:ind w:left="0"/>
              <w:jc w:val="both"/>
              <w:rPr>
                <w:color w:val="000000" w:themeColor="text1"/>
                <w:sz w:val="20"/>
                <w:szCs w:val="20"/>
              </w:rPr>
            </w:pPr>
            <w:r w:rsidRPr="00CF7047">
              <w:rPr>
                <w:color w:val="365F91" w:themeColor="accent1" w:themeShade="BF"/>
                <w:sz w:val="20"/>
                <w:szCs w:val="20"/>
              </w:rPr>
              <w:t xml:space="preserve">Řešené území územní studie krajiny bude vždy vymezeno v rozsahu celého správního obvodu obce s rozšířenou působností. Nelze tvořit územní studie krajiny pro jiné administrativní/funkční celky. </w:t>
            </w:r>
          </w:p>
        </w:tc>
      </w:tr>
    </w:tbl>
    <w:p w:rsidR="001A0E1E" w:rsidRDefault="001A0E1E" w:rsidP="001A0E1E">
      <w:pPr>
        <w:pStyle w:val="Odstavecseseznamem"/>
        <w:ind w:left="284"/>
        <w:jc w:val="both"/>
        <w:rPr>
          <w:rFonts w:asciiTheme="minorHAnsi" w:hAnsiTheme="minorHAnsi"/>
          <w:sz w:val="20"/>
          <w:szCs w:val="20"/>
        </w:rPr>
      </w:pPr>
    </w:p>
    <w:p w:rsidR="00DA0F79" w:rsidRDefault="006D443E"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Územní plán (nelze hradit z IROP) - Minimální výše celkových způsobilých výdajů je nutno snížit</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89234F" w:rsidRDefault="00624375" w:rsidP="00930A5D">
            <w:pPr>
              <w:pStyle w:val="Odstavecseseznamem"/>
              <w:ind w:left="0"/>
              <w:jc w:val="both"/>
              <w:rPr>
                <w:color w:val="0070C0"/>
                <w:sz w:val="20"/>
                <w:szCs w:val="20"/>
              </w:rPr>
            </w:pPr>
            <w:r w:rsidRPr="00CF7047">
              <w:rPr>
                <w:color w:val="365F91" w:themeColor="accent1" w:themeShade="BF"/>
                <w:sz w:val="20"/>
                <w:szCs w:val="20"/>
              </w:rPr>
              <w:t>Minimální výše celkových</w:t>
            </w:r>
            <w:r w:rsidR="00056EBA" w:rsidRPr="00CF7047">
              <w:rPr>
                <w:color w:val="365F91" w:themeColor="accent1" w:themeShade="BF"/>
                <w:sz w:val="20"/>
                <w:szCs w:val="20"/>
              </w:rPr>
              <w:t xml:space="preserve"> způsobilých výdajů pro tvorbu nového územního plánu je 450 000 Kč. Tato částka byla konzultována na pracovním týmu SC 3.3 IROP a pro obce typu ORP je adekvátní. Předložené projekty se pohybují okol</w:t>
            </w:r>
            <w:r w:rsidR="00930A5D" w:rsidRPr="00CF7047">
              <w:rPr>
                <w:color w:val="365F91" w:themeColor="accent1" w:themeShade="BF"/>
                <w:sz w:val="20"/>
                <w:szCs w:val="20"/>
              </w:rPr>
              <w:t>o</w:t>
            </w:r>
            <w:r w:rsidR="00056EBA" w:rsidRPr="00CF7047">
              <w:rPr>
                <w:color w:val="365F91" w:themeColor="accent1" w:themeShade="BF"/>
                <w:sz w:val="20"/>
                <w:szCs w:val="20"/>
              </w:rPr>
              <w:t xml:space="preserve"> 1 mil. Kč.</w:t>
            </w:r>
            <w:r w:rsidR="0048678A">
              <w:rPr>
                <w:color w:val="365F91" w:themeColor="accent1" w:themeShade="BF"/>
                <w:sz w:val="20"/>
                <w:szCs w:val="20"/>
              </w:rPr>
              <w:t xml:space="preserve"> U nižších částek není efektivní zapojení v ESI fondech. </w:t>
            </w:r>
          </w:p>
        </w:tc>
      </w:tr>
    </w:tbl>
    <w:p w:rsidR="00DA0F79" w:rsidRDefault="00DA0F79" w:rsidP="00DA0F79">
      <w:pPr>
        <w:pStyle w:val="Odstavecseseznamem"/>
        <w:ind w:left="284"/>
        <w:jc w:val="both"/>
        <w:rPr>
          <w:rFonts w:asciiTheme="minorHAnsi" w:hAnsiTheme="minorHAnsi"/>
          <w:sz w:val="20"/>
          <w:szCs w:val="20"/>
        </w:rPr>
      </w:pPr>
    </w:p>
    <w:p w:rsidR="00DA0F79" w:rsidRDefault="006D443E"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Územní studie veřejného prostranství</w:t>
      </w:r>
      <w:r w:rsidRPr="001F692A">
        <w:rPr>
          <w:rFonts w:asciiTheme="minorHAnsi" w:hAnsiTheme="minorHAnsi"/>
          <w:sz w:val="20"/>
          <w:szCs w:val="20"/>
        </w:rPr>
        <w:tab/>
        <w:t>- rozšířit i na jiné příjemce a snížit u územní studie výdaje pod 200</w:t>
      </w:r>
      <w:r w:rsidR="001F692A" w:rsidRPr="001F692A">
        <w:rPr>
          <w:rFonts w:asciiTheme="minorHAnsi" w:hAnsiTheme="minorHAnsi"/>
          <w:sz w:val="20"/>
          <w:szCs w:val="20"/>
        </w:rPr>
        <w:t> </w:t>
      </w:r>
      <w:r w:rsidRPr="001F692A">
        <w:rPr>
          <w:rFonts w:asciiTheme="minorHAnsi" w:hAnsiTheme="minorHAnsi"/>
          <w:sz w:val="20"/>
          <w:szCs w:val="20"/>
        </w:rPr>
        <w:t>tis.</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Default="0089234F" w:rsidP="00930A5D">
            <w:pPr>
              <w:pStyle w:val="Odstavecseseznamem"/>
              <w:ind w:left="0"/>
              <w:jc w:val="both"/>
              <w:rPr>
                <w:color w:val="000000" w:themeColor="text1"/>
                <w:sz w:val="20"/>
                <w:szCs w:val="20"/>
              </w:rPr>
            </w:pPr>
            <w:r w:rsidRPr="00CF7047">
              <w:rPr>
                <w:color w:val="365F91" w:themeColor="accent1" w:themeShade="BF"/>
                <w:sz w:val="20"/>
                <w:szCs w:val="20"/>
              </w:rPr>
              <w:t>V 9. výzv</w:t>
            </w:r>
            <w:r w:rsidR="00930A5D" w:rsidRPr="00CF7047">
              <w:rPr>
                <w:color w:val="365F91" w:themeColor="accent1" w:themeShade="BF"/>
                <w:sz w:val="20"/>
                <w:szCs w:val="20"/>
              </w:rPr>
              <w:t>ě na</w:t>
            </w:r>
            <w:r w:rsidRPr="00CF7047">
              <w:rPr>
                <w:color w:val="365F91" w:themeColor="accent1" w:themeShade="BF"/>
                <w:sz w:val="20"/>
                <w:szCs w:val="20"/>
              </w:rPr>
              <w:t xml:space="preserve"> Územní studie</w:t>
            </w:r>
            <w:r w:rsidR="00056EBA" w:rsidRPr="00CF7047">
              <w:rPr>
                <w:color w:val="365F91" w:themeColor="accent1" w:themeShade="BF"/>
                <w:sz w:val="20"/>
                <w:szCs w:val="20"/>
              </w:rPr>
              <w:t xml:space="preserve"> mohou projekty obsahovat zpracování </w:t>
            </w:r>
            <w:r w:rsidR="00930A5D" w:rsidRPr="00CF7047">
              <w:rPr>
                <w:color w:val="365F91" w:themeColor="accent1" w:themeShade="BF"/>
                <w:sz w:val="20"/>
                <w:szCs w:val="20"/>
              </w:rPr>
              <w:t>několika</w:t>
            </w:r>
            <w:r w:rsidR="00056EBA" w:rsidRPr="00CF7047">
              <w:rPr>
                <w:color w:val="365F91" w:themeColor="accent1" w:themeShade="BF"/>
                <w:sz w:val="20"/>
                <w:szCs w:val="20"/>
              </w:rPr>
              <w:t xml:space="preserve"> různých dokumentů. Limity jsou nastaveny pro projekt jako celek, nikoliv pro jednotlivé dokumenty.</w:t>
            </w:r>
            <w:r w:rsidR="008826AE" w:rsidRPr="00CF7047">
              <w:rPr>
                <w:color w:val="365F91" w:themeColor="accent1" w:themeShade="BF"/>
                <w:sz w:val="20"/>
                <w:szCs w:val="20"/>
              </w:rPr>
              <w:t xml:space="preserve"> Žadatelem musí být ORP, místem realizace je území správního obvodu obce s rozšířenou působností – je tedy možnost tvořit ÚS veřejného prostranství pro všechny obce.</w:t>
            </w:r>
          </w:p>
        </w:tc>
      </w:tr>
    </w:tbl>
    <w:p w:rsidR="00DA0F79" w:rsidRDefault="00DA0F79" w:rsidP="00DA0F79">
      <w:pPr>
        <w:pStyle w:val="Odstavecseseznamem"/>
        <w:ind w:left="284"/>
        <w:jc w:val="both"/>
        <w:rPr>
          <w:rFonts w:asciiTheme="minorHAnsi" w:hAnsiTheme="minorHAnsi"/>
          <w:sz w:val="20"/>
          <w:szCs w:val="20"/>
        </w:rPr>
      </w:pPr>
    </w:p>
    <w:p w:rsidR="00DA0F79" w:rsidRDefault="00AD4F10"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N</w:t>
      </w:r>
      <w:r w:rsidR="002F79E4" w:rsidRPr="001F692A">
        <w:rPr>
          <w:rFonts w:asciiTheme="minorHAnsi" w:hAnsiTheme="minorHAnsi"/>
          <w:sz w:val="20"/>
          <w:szCs w:val="20"/>
        </w:rPr>
        <w:t>ěkteré města mají zadání územního plánu z r. 2013 a nesplňují podmínky výzvy, kde je uvedeno, že zadání musí být nejdříve 1.</w:t>
      </w:r>
      <w:r w:rsidR="001F692A" w:rsidRPr="001F692A">
        <w:rPr>
          <w:rFonts w:asciiTheme="minorHAnsi" w:hAnsiTheme="minorHAnsi"/>
          <w:sz w:val="20"/>
          <w:szCs w:val="20"/>
        </w:rPr>
        <w:t xml:space="preserve"> </w:t>
      </w:r>
      <w:r w:rsidR="002F79E4" w:rsidRPr="001F692A">
        <w:rPr>
          <w:rFonts w:asciiTheme="minorHAnsi" w:hAnsiTheme="minorHAnsi"/>
          <w:sz w:val="20"/>
          <w:szCs w:val="20"/>
        </w:rPr>
        <w:t>1.</w:t>
      </w:r>
      <w:r w:rsidR="001F692A" w:rsidRPr="001F692A">
        <w:rPr>
          <w:rFonts w:asciiTheme="minorHAnsi" w:hAnsiTheme="minorHAnsi"/>
          <w:sz w:val="20"/>
          <w:szCs w:val="20"/>
        </w:rPr>
        <w:t xml:space="preserve"> </w:t>
      </w:r>
      <w:r w:rsidR="002F79E4" w:rsidRPr="001F692A">
        <w:rPr>
          <w:rFonts w:asciiTheme="minorHAnsi" w:hAnsiTheme="minorHAnsi"/>
          <w:sz w:val="20"/>
          <w:szCs w:val="20"/>
        </w:rPr>
        <w:t xml:space="preserve">2014. </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Default="00383288" w:rsidP="00AC4883">
            <w:pPr>
              <w:pStyle w:val="Odstavecseseznamem"/>
              <w:ind w:left="0"/>
              <w:jc w:val="both"/>
              <w:rPr>
                <w:color w:val="000000" w:themeColor="text1"/>
                <w:sz w:val="20"/>
                <w:szCs w:val="20"/>
              </w:rPr>
            </w:pPr>
            <w:r w:rsidRPr="00CF7047">
              <w:rPr>
                <w:color w:val="365F91" w:themeColor="accent1" w:themeShade="BF"/>
                <w:sz w:val="20"/>
                <w:szCs w:val="20"/>
              </w:rPr>
              <w:t>ŘO IROP navrhuje zrušení</w:t>
            </w:r>
            <w:r w:rsidR="002D240D" w:rsidRPr="00CF7047">
              <w:rPr>
                <w:color w:val="365F91" w:themeColor="accent1" w:themeShade="BF"/>
                <w:sz w:val="20"/>
                <w:szCs w:val="20"/>
              </w:rPr>
              <w:t xml:space="preserve"> </w:t>
            </w:r>
            <w:r w:rsidR="00930A5D" w:rsidRPr="00CF7047">
              <w:rPr>
                <w:color w:val="365F91" w:themeColor="accent1" w:themeShade="BF"/>
                <w:sz w:val="20"/>
                <w:szCs w:val="20"/>
              </w:rPr>
              <w:t>tohoto</w:t>
            </w:r>
            <w:r w:rsidR="002D240D" w:rsidRPr="00CF7047">
              <w:rPr>
                <w:color w:val="365F91" w:themeColor="accent1" w:themeShade="BF"/>
                <w:sz w:val="20"/>
                <w:szCs w:val="20"/>
              </w:rPr>
              <w:t xml:space="preserve"> kritérium přijatelnosti</w:t>
            </w:r>
            <w:r w:rsidR="00930A5D" w:rsidRPr="00CF7047">
              <w:rPr>
                <w:color w:val="365F91" w:themeColor="accent1" w:themeShade="BF"/>
                <w:sz w:val="20"/>
                <w:szCs w:val="20"/>
              </w:rPr>
              <w:t>,</w:t>
            </w:r>
            <w:r w:rsidR="002D240D" w:rsidRPr="00CF7047">
              <w:rPr>
                <w:color w:val="365F91" w:themeColor="accent1" w:themeShade="BF"/>
                <w:sz w:val="20"/>
                <w:szCs w:val="20"/>
              </w:rPr>
              <w:t xml:space="preserve"> </w:t>
            </w:r>
            <w:r w:rsidR="00930A5D" w:rsidRPr="00CF7047">
              <w:rPr>
                <w:color w:val="365F91" w:themeColor="accent1" w:themeShade="BF"/>
                <w:sz w:val="20"/>
                <w:szCs w:val="20"/>
              </w:rPr>
              <w:t>které mu</w:t>
            </w:r>
            <w:r w:rsidR="0089234F" w:rsidRPr="00CF7047">
              <w:rPr>
                <w:color w:val="365F91" w:themeColor="accent1" w:themeShade="BF"/>
                <w:sz w:val="20"/>
                <w:szCs w:val="20"/>
              </w:rPr>
              <w:t xml:space="preserve">sí schválit Monitorovací výbor IROP </w:t>
            </w:r>
            <w:r w:rsidR="002D240D" w:rsidRPr="00CF7047">
              <w:rPr>
                <w:color w:val="365F91" w:themeColor="accent1" w:themeShade="BF"/>
                <w:sz w:val="20"/>
                <w:szCs w:val="20"/>
              </w:rPr>
              <w:t>na jednání dne 29. 2. 2016</w:t>
            </w:r>
            <w:r w:rsidR="00930A5D" w:rsidRPr="00CF7047">
              <w:rPr>
                <w:color w:val="365F91" w:themeColor="accent1" w:themeShade="BF"/>
                <w:sz w:val="20"/>
                <w:szCs w:val="20"/>
              </w:rPr>
              <w:t>. ŘO IROP pak</w:t>
            </w:r>
            <w:r w:rsidR="00AC4883" w:rsidRPr="00CF7047">
              <w:rPr>
                <w:color w:val="365F91" w:themeColor="accent1" w:themeShade="BF"/>
                <w:sz w:val="20"/>
                <w:szCs w:val="20"/>
              </w:rPr>
              <w:t xml:space="preserve"> provede revizi</w:t>
            </w:r>
            <w:r w:rsidR="002D240D" w:rsidRPr="00CF7047">
              <w:rPr>
                <w:color w:val="365F91" w:themeColor="accent1" w:themeShade="BF"/>
                <w:sz w:val="20"/>
                <w:szCs w:val="20"/>
              </w:rPr>
              <w:t xml:space="preserve"> Specifických pravidel 2. výzvy. </w:t>
            </w:r>
          </w:p>
        </w:tc>
      </w:tr>
    </w:tbl>
    <w:p w:rsidR="00DA0F79" w:rsidRPr="00DA0F79" w:rsidRDefault="00DA0F79" w:rsidP="00DA0F79">
      <w:pPr>
        <w:pStyle w:val="Odstavecseseznamem"/>
        <w:ind w:left="284"/>
        <w:jc w:val="both"/>
        <w:rPr>
          <w:rFonts w:asciiTheme="minorHAnsi" w:hAnsiTheme="minorHAnsi"/>
          <w:sz w:val="20"/>
          <w:szCs w:val="20"/>
        </w:rPr>
      </w:pPr>
    </w:p>
    <w:p w:rsidR="00DA0F79" w:rsidRDefault="00DF54C5"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cs="Arial"/>
          <w:sz w:val="20"/>
          <w:szCs w:val="20"/>
        </w:rPr>
        <w:t>Jedinou bariérou</w:t>
      </w:r>
      <w:r w:rsidR="00AD4F10" w:rsidRPr="001F692A">
        <w:rPr>
          <w:rFonts w:asciiTheme="minorHAnsi" w:hAnsiTheme="minorHAnsi" w:cs="Arial"/>
          <w:sz w:val="20"/>
          <w:szCs w:val="20"/>
        </w:rPr>
        <w:t xml:space="preserve"> projektů (územní studie)</w:t>
      </w:r>
      <w:r w:rsidRPr="001F692A">
        <w:rPr>
          <w:rFonts w:asciiTheme="minorHAnsi" w:hAnsiTheme="minorHAnsi" w:cs="Arial"/>
          <w:sz w:val="20"/>
          <w:szCs w:val="20"/>
        </w:rPr>
        <w:t xml:space="preserve"> je zajištění projektantů, kteří budou jednotlivé ÚS zpracovávat. Jedná se spíše o bariéru z hlediska časového a organizačního zajištění. Vzhledem k velikosti ORP není problém v komunikaci s pořizovatelem</w:t>
      </w:r>
      <w:r w:rsidRPr="001F692A">
        <w:rPr>
          <w:rFonts w:asciiTheme="minorHAnsi" w:hAnsiTheme="minorHAnsi"/>
          <w:sz w:val="20"/>
          <w:szCs w:val="20"/>
        </w:rPr>
        <w:t xml:space="preserve"> ani mezi samosprávami.</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Default="002D240D" w:rsidP="00AC4883">
            <w:pPr>
              <w:pStyle w:val="Odstavecseseznamem"/>
              <w:ind w:left="0"/>
              <w:jc w:val="both"/>
              <w:rPr>
                <w:color w:val="000000" w:themeColor="text1"/>
                <w:sz w:val="20"/>
                <w:szCs w:val="20"/>
              </w:rPr>
            </w:pPr>
            <w:r w:rsidRPr="00CF7047">
              <w:rPr>
                <w:color w:val="365F91" w:themeColor="accent1" w:themeShade="BF"/>
                <w:sz w:val="20"/>
                <w:szCs w:val="20"/>
              </w:rPr>
              <w:t>Žádost o podporu je možné podat po podpisu smlouvy na zpracování územní studie.</w:t>
            </w:r>
            <w:r w:rsidR="00CD4886" w:rsidRPr="00CF7047">
              <w:rPr>
                <w:color w:val="365F91" w:themeColor="accent1" w:themeShade="BF"/>
                <w:sz w:val="20"/>
                <w:szCs w:val="20"/>
              </w:rPr>
              <w:t xml:space="preserve"> Výzva je vyhlášená od 14. 9. 2015 a </w:t>
            </w:r>
            <w:r w:rsidR="00AC4883" w:rsidRPr="00CF7047">
              <w:rPr>
                <w:color w:val="365F91" w:themeColor="accent1" w:themeShade="BF"/>
                <w:sz w:val="20"/>
                <w:szCs w:val="20"/>
              </w:rPr>
              <w:t>žádosti lze předkládat</w:t>
            </w:r>
            <w:r w:rsidR="00CD4886" w:rsidRPr="00CF7047">
              <w:rPr>
                <w:color w:val="365F91" w:themeColor="accent1" w:themeShade="BF"/>
                <w:sz w:val="20"/>
                <w:szCs w:val="20"/>
              </w:rPr>
              <w:t xml:space="preserve"> do 31. 3. 2017. </w:t>
            </w:r>
          </w:p>
        </w:tc>
      </w:tr>
    </w:tbl>
    <w:p w:rsidR="00DA0F79" w:rsidRDefault="00DA0F79" w:rsidP="00DA0F79">
      <w:pPr>
        <w:pStyle w:val="Odstavecseseznamem"/>
        <w:ind w:left="284"/>
        <w:jc w:val="both"/>
        <w:rPr>
          <w:rFonts w:asciiTheme="minorHAnsi" w:hAnsiTheme="minorHAnsi" w:cs="Arial"/>
          <w:sz w:val="20"/>
          <w:szCs w:val="20"/>
        </w:rPr>
      </w:pPr>
    </w:p>
    <w:p w:rsidR="00AD4F10" w:rsidRPr="001F692A" w:rsidRDefault="00DF54C5" w:rsidP="001F692A">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Dosud neexistuje metodika tvorby předmětné ÚS. Nelze</w:t>
      </w:r>
      <w:r w:rsidR="00A6447A">
        <w:rPr>
          <w:rFonts w:asciiTheme="minorHAnsi" w:hAnsiTheme="minorHAnsi" w:cs="Arial"/>
          <w:sz w:val="20"/>
          <w:szCs w:val="20"/>
        </w:rPr>
        <w:t xml:space="preserve"> </w:t>
      </w:r>
      <w:r w:rsidRPr="001F692A">
        <w:rPr>
          <w:rFonts w:asciiTheme="minorHAnsi" w:hAnsiTheme="minorHAnsi" w:cs="Arial"/>
          <w:sz w:val="20"/>
          <w:szCs w:val="20"/>
        </w:rPr>
        <w:t>poptávat projektanty ani vytvořit zadání ÚS</w:t>
      </w:r>
    </w:p>
    <w:p w:rsidR="00DF54C5" w:rsidRPr="001F692A" w:rsidRDefault="0014660C" w:rsidP="001F692A">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N</w:t>
      </w:r>
      <w:r w:rsidR="00DF54C5" w:rsidRPr="001F692A">
        <w:rPr>
          <w:rFonts w:asciiTheme="minorHAnsi" w:hAnsiTheme="minorHAnsi" w:cs="Arial"/>
          <w:sz w:val="20"/>
          <w:szCs w:val="20"/>
        </w:rPr>
        <w:t>elze začít pracovat bez metodiky MMR</w:t>
      </w:r>
      <w:r w:rsidR="00DF54C5" w:rsidRPr="001F692A">
        <w:rPr>
          <w:rFonts w:asciiTheme="minorHAnsi" w:hAnsiTheme="minorHAnsi" w:cs="Arial"/>
          <w:sz w:val="20"/>
          <w:szCs w:val="20"/>
        </w:rPr>
        <w:tab/>
      </w:r>
      <w:r w:rsidR="00AD4F10" w:rsidRPr="001F692A">
        <w:rPr>
          <w:rFonts w:asciiTheme="minorHAnsi" w:hAnsiTheme="minorHAnsi" w:cs="Arial"/>
          <w:sz w:val="20"/>
          <w:szCs w:val="20"/>
        </w:rPr>
        <w:t xml:space="preserve"> </w:t>
      </w:r>
    </w:p>
    <w:p w:rsidR="00DA0F79" w:rsidRDefault="0014660C" w:rsidP="00DA0F79">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J</w:t>
      </w:r>
      <w:r w:rsidR="00DF54C5" w:rsidRPr="001F692A">
        <w:rPr>
          <w:rFonts w:asciiTheme="minorHAnsi" w:hAnsiTheme="minorHAnsi" w:cs="Arial"/>
          <w:sz w:val="20"/>
          <w:szCs w:val="20"/>
        </w:rPr>
        <w:t>eště není vydaná metodika na zpracování krajinné studie</w:t>
      </w:r>
    </w:p>
    <w:p w:rsidR="00984020" w:rsidRDefault="00984020" w:rsidP="00984020">
      <w:pPr>
        <w:pStyle w:val="Odstavecseseznamem"/>
        <w:ind w:left="284"/>
        <w:jc w:val="both"/>
        <w:rPr>
          <w:rFonts w:asciiTheme="minorHAnsi" w:hAnsiTheme="minorHAnsi" w:cs="Arial"/>
          <w:sz w:val="20"/>
          <w:szCs w:val="20"/>
        </w:rPr>
      </w:pPr>
    </w:p>
    <w:p w:rsidR="00DA0F79" w:rsidRPr="00DA0F79" w:rsidRDefault="00DA0F79" w:rsidP="00DA0F79">
      <w:pPr>
        <w:pStyle w:val="Odstavecseseznamem"/>
        <w:ind w:left="284"/>
        <w:jc w:val="both"/>
        <w:rPr>
          <w:rFonts w:asciiTheme="minorHAnsi" w:hAnsiTheme="minorHAnsi" w:cs="Arial"/>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CF7047" w:rsidRDefault="0089234F" w:rsidP="00930A5D">
            <w:pPr>
              <w:pStyle w:val="Odstavecseseznamem"/>
              <w:ind w:left="0"/>
              <w:jc w:val="both"/>
              <w:rPr>
                <w:rFonts w:asciiTheme="minorHAnsi" w:hAnsiTheme="minorHAnsi" w:cs="Arial"/>
                <w:color w:val="365F91" w:themeColor="accent1" w:themeShade="BF"/>
                <w:sz w:val="20"/>
                <w:szCs w:val="20"/>
              </w:rPr>
            </w:pPr>
            <w:r w:rsidRPr="00CF7047">
              <w:rPr>
                <w:color w:val="365F91" w:themeColor="accent1" w:themeShade="BF"/>
                <w:sz w:val="20"/>
                <w:szCs w:val="20"/>
              </w:rPr>
              <w:t>V</w:t>
            </w:r>
            <w:r w:rsidR="002B536C" w:rsidRPr="00CF7047">
              <w:rPr>
                <w:color w:val="365F91" w:themeColor="accent1" w:themeShade="BF"/>
                <w:sz w:val="20"/>
                <w:szCs w:val="20"/>
              </w:rPr>
              <w:t>ydání metodiky pro Zadání územní studie krajiny</w:t>
            </w:r>
            <w:r w:rsidRPr="00CF7047">
              <w:rPr>
                <w:color w:val="365F91" w:themeColor="accent1" w:themeShade="BF"/>
                <w:sz w:val="20"/>
                <w:szCs w:val="20"/>
              </w:rPr>
              <w:t xml:space="preserve"> plánuje Odbor územního plánování MMR na</w:t>
            </w:r>
            <w:r w:rsidR="002B536C" w:rsidRPr="00CF7047">
              <w:rPr>
                <w:color w:val="365F91" w:themeColor="accent1" w:themeShade="BF"/>
                <w:sz w:val="20"/>
                <w:szCs w:val="20"/>
              </w:rPr>
              <w:t xml:space="preserve"> kon</w:t>
            </w:r>
            <w:r w:rsidRPr="00CF7047">
              <w:rPr>
                <w:color w:val="365F91" w:themeColor="accent1" w:themeShade="BF"/>
                <w:sz w:val="20"/>
                <w:szCs w:val="20"/>
              </w:rPr>
              <w:t>e</w:t>
            </w:r>
            <w:r w:rsidR="002B536C" w:rsidRPr="00CF7047">
              <w:rPr>
                <w:color w:val="365F91" w:themeColor="accent1" w:themeShade="BF"/>
                <w:sz w:val="20"/>
                <w:szCs w:val="20"/>
              </w:rPr>
              <w:t xml:space="preserve">c února 2016 a vydání </w:t>
            </w:r>
            <w:r w:rsidR="002B536C" w:rsidRPr="00CF7047">
              <w:rPr>
                <w:rFonts w:asciiTheme="minorHAnsi" w:hAnsiTheme="minorHAnsi" w:cs="Arial"/>
                <w:color w:val="365F91" w:themeColor="accent1" w:themeShade="BF"/>
                <w:sz w:val="20"/>
                <w:szCs w:val="20"/>
              </w:rPr>
              <w:t>metodiky pro Zadání regulačního plánu z podnětu nenahrazující územní rozhodnutí v březnu 2016.</w:t>
            </w:r>
          </w:p>
          <w:p w:rsidR="002B536C" w:rsidRPr="00CF7047" w:rsidRDefault="002B536C" w:rsidP="00930A5D">
            <w:pPr>
              <w:pStyle w:val="Odstavecseseznamem"/>
              <w:ind w:left="0"/>
              <w:jc w:val="both"/>
              <w:rPr>
                <w:rFonts w:asciiTheme="minorHAnsi" w:hAnsiTheme="minorHAnsi" w:cs="Arial"/>
                <w:color w:val="365F91" w:themeColor="accent1" w:themeShade="BF"/>
                <w:sz w:val="20"/>
                <w:szCs w:val="20"/>
              </w:rPr>
            </w:pPr>
            <w:r w:rsidRPr="00CF7047">
              <w:rPr>
                <w:rFonts w:asciiTheme="minorHAnsi" w:hAnsiTheme="minorHAnsi" w:cs="Arial"/>
                <w:color w:val="365F91" w:themeColor="accent1" w:themeShade="BF"/>
                <w:sz w:val="20"/>
                <w:szCs w:val="20"/>
              </w:rPr>
              <w:t xml:space="preserve">Metodika pro zadání územní studie veřejného prostranství je již veřejně dostupná. </w:t>
            </w:r>
          </w:p>
          <w:p w:rsidR="002B536C" w:rsidRPr="00CF7047" w:rsidRDefault="00FF4221" w:rsidP="002B536C">
            <w:pPr>
              <w:pStyle w:val="Odstavecseseznamem"/>
              <w:ind w:left="0"/>
              <w:jc w:val="both"/>
              <w:rPr>
                <w:color w:val="365F91" w:themeColor="accent1" w:themeShade="BF"/>
                <w:sz w:val="20"/>
                <w:szCs w:val="20"/>
              </w:rPr>
            </w:pPr>
            <w:hyperlink r:id="rId9" w:history="1">
              <w:r w:rsidR="002B536C" w:rsidRPr="00CF7047">
                <w:rPr>
                  <w:rStyle w:val="Hypertextovodkaz"/>
                  <w:color w:val="365F91" w:themeColor="accent1" w:themeShade="BF"/>
                  <w:sz w:val="20"/>
                  <w:szCs w:val="20"/>
                </w:rPr>
                <w:t>http://www.dotaceeu.cz/getmedia/003217c0-2c21-437a-b4d0-a9e4ee4a29e7/Uzemni-studie-verejneho-prostranstvi-3-11.2015.pdf?ext=.pdf</w:t>
              </w:r>
            </w:hyperlink>
          </w:p>
        </w:tc>
      </w:tr>
    </w:tbl>
    <w:p w:rsidR="00DA0F79" w:rsidRPr="00DA0F79" w:rsidRDefault="00DA0F79" w:rsidP="00DA0F79">
      <w:pPr>
        <w:pStyle w:val="Odstavecseseznamem"/>
        <w:ind w:left="284"/>
        <w:jc w:val="both"/>
        <w:rPr>
          <w:rFonts w:asciiTheme="minorHAnsi" w:hAnsiTheme="minorHAnsi"/>
          <w:sz w:val="20"/>
          <w:szCs w:val="20"/>
        </w:rPr>
      </w:pPr>
    </w:p>
    <w:p w:rsidR="00DA0F79" w:rsidRPr="00984020" w:rsidRDefault="0014660C"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cs="Arial"/>
          <w:sz w:val="20"/>
          <w:szCs w:val="20"/>
        </w:rPr>
        <w:t>D</w:t>
      </w:r>
      <w:r w:rsidR="00DF54C5" w:rsidRPr="001F692A">
        <w:rPr>
          <w:rFonts w:asciiTheme="minorHAnsi" w:hAnsiTheme="minorHAnsi" w:cs="Arial"/>
          <w:sz w:val="20"/>
          <w:szCs w:val="20"/>
        </w:rPr>
        <w:t>le předběžných informací bude potřeba zajistit v rámci p</w:t>
      </w:r>
      <w:r w:rsidR="00AD4F10" w:rsidRPr="001F692A">
        <w:rPr>
          <w:rFonts w:asciiTheme="minorHAnsi" w:hAnsiTheme="minorHAnsi" w:cs="Arial"/>
          <w:sz w:val="20"/>
          <w:szCs w:val="20"/>
        </w:rPr>
        <w:t>rojektu komunikaci s</w:t>
      </w:r>
      <w:r w:rsidR="00984020">
        <w:rPr>
          <w:rFonts w:asciiTheme="minorHAnsi" w:hAnsiTheme="minorHAnsi" w:cs="Arial"/>
          <w:sz w:val="20"/>
          <w:szCs w:val="20"/>
        </w:rPr>
        <w:t> </w:t>
      </w:r>
      <w:r w:rsidR="00AD4F10" w:rsidRPr="001F692A">
        <w:rPr>
          <w:rFonts w:asciiTheme="minorHAnsi" w:hAnsiTheme="minorHAnsi" w:cs="Arial"/>
          <w:sz w:val="20"/>
          <w:szCs w:val="20"/>
        </w:rPr>
        <w:t>veřejností</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89234F" w:rsidRDefault="002B536C" w:rsidP="00AC4883">
            <w:pPr>
              <w:pStyle w:val="Odstavecseseznamem"/>
              <w:ind w:left="0"/>
              <w:jc w:val="both"/>
              <w:rPr>
                <w:color w:val="0070C0"/>
                <w:sz w:val="20"/>
                <w:szCs w:val="20"/>
              </w:rPr>
            </w:pPr>
            <w:r w:rsidRPr="00CF7047">
              <w:rPr>
                <w:color w:val="365F91" w:themeColor="accent1" w:themeShade="BF"/>
                <w:sz w:val="20"/>
                <w:szCs w:val="20"/>
              </w:rPr>
              <w:t>ŘO IROP takou podmínku nestanoví. Kritéria pro schvál</w:t>
            </w:r>
            <w:r w:rsidR="00713559" w:rsidRPr="00CF7047">
              <w:rPr>
                <w:color w:val="365F91" w:themeColor="accent1" w:themeShade="BF"/>
                <w:sz w:val="20"/>
                <w:szCs w:val="20"/>
              </w:rPr>
              <w:t>ení projektů</w:t>
            </w:r>
            <w:r w:rsidR="00AC4883" w:rsidRPr="00CF7047">
              <w:rPr>
                <w:color w:val="365F91" w:themeColor="accent1" w:themeShade="BF"/>
                <w:sz w:val="20"/>
                <w:szCs w:val="20"/>
              </w:rPr>
              <w:t xml:space="preserve"> a všechny podmínky podpory</w:t>
            </w:r>
            <w:r w:rsidR="00713559" w:rsidRPr="00CF7047">
              <w:rPr>
                <w:color w:val="365F91" w:themeColor="accent1" w:themeShade="BF"/>
                <w:sz w:val="20"/>
                <w:szCs w:val="20"/>
              </w:rPr>
              <w:t xml:space="preserve"> jsou zveřejněn</w:t>
            </w:r>
            <w:r w:rsidR="00AC4883" w:rsidRPr="00CF7047">
              <w:rPr>
                <w:color w:val="365F91" w:themeColor="accent1" w:themeShade="BF"/>
                <w:sz w:val="20"/>
                <w:szCs w:val="20"/>
              </w:rPr>
              <w:t>y</w:t>
            </w:r>
            <w:r w:rsidR="00713559" w:rsidRPr="00CF7047">
              <w:rPr>
                <w:color w:val="365F91" w:themeColor="accent1" w:themeShade="BF"/>
                <w:sz w:val="20"/>
                <w:szCs w:val="20"/>
              </w:rPr>
              <w:t xml:space="preserve"> ve Specifických p</w:t>
            </w:r>
            <w:r w:rsidRPr="00CF7047">
              <w:rPr>
                <w:color w:val="365F91" w:themeColor="accent1" w:themeShade="BF"/>
                <w:sz w:val="20"/>
                <w:szCs w:val="20"/>
              </w:rPr>
              <w:t xml:space="preserve">ravidlech výzev. </w:t>
            </w:r>
          </w:p>
        </w:tc>
      </w:tr>
    </w:tbl>
    <w:p w:rsidR="00DA0F79" w:rsidRDefault="00DA0F79" w:rsidP="00DA0F79">
      <w:pPr>
        <w:pStyle w:val="Odstavecseseznamem"/>
        <w:ind w:left="284"/>
        <w:jc w:val="both"/>
        <w:rPr>
          <w:rFonts w:asciiTheme="minorHAnsi" w:hAnsiTheme="minorHAnsi" w:cs="Arial"/>
          <w:sz w:val="20"/>
          <w:szCs w:val="20"/>
        </w:rPr>
      </w:pPr>
    </w:p>
    <w:p w:rsidR="00280C7F" w:rsidRDefault="00163030" w:rsidP="00280C7F">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Ve výzvě 2, 3 a 9 vidí potenciální žadatelé bariéru v tom, že žádat mohou pouze ORP. Ty, dle vyjádření nechtějí a nebudou zpracovávat územní plány, studie a regulační plány pro jiné obce.  Hlavním důvodem je nedostatečné personální vybavení, kdy přednostně budou ORPy zpracovávat svoji práci. Dalším důvodem může být neznalost finančního a organizačního vedení projektů, kdy i drobná chyba může znamenat vrácení dotace.</w:t>
      </w:r>
    </w:p>
    <w:p w:rsidR="00984020" w:rsidRDefault="00984020" w:rsidP="00984020">
      <w:pPr>
        <w:pStyle w:val="Odstavecseseznamem"/>
        <w:ind w:left="284"/>
        <w:jc w:val="both"/>
        <w:rPr>
          <w:rFonts w:asciiTheme="minorHAnsi" w:hAnsiTheme="minorHAnsi" w:cs="Arial"/>
          <w:sz w:val="20"/>
          <w:szCs w:val="20"/>
        </w:rPr>
      </w:pPr>
    </w:p>
    <w:p w:rsidR="00280C7F" w:rsidRPr="00280C7F" w:rsidRDefault="00280C7F" w:rsidP="00280C7F">
      <w:pPr>
        <w:pStyle w:val="Odstavecseseznamem"/>
        <w:ind w:left="284"/>
        <w:jc w:val="both"/>
        <w:rPr>
          <w:rFonts w:asciiTheme="minorHAnsi" w:hAnsiTheme="minorHAnsi" w:cs="Arial"/>
          <w:sz w:val="20"/>
          <w:szCs w:val="20"/>
        </w:rPr>
      </w:pPr>
      <w:r w:rsidRPr="00280C7F">
        <w:rPr>
          <w:b/>
          <w:color w:val="000000" w:themeColor="text1"/>
          <w:sz w:val="20"/>
          <w:szCs w:val="20"/>
        </w:rPr>
        <w:t>Reakce ŘO IROP</w:t>
      </w:r>
    </w:p>
    <w:tbl>
      <w:tblPr>
        <w:tblStyle w:val="Mkatabulky"/>
        <w:tblW w:w="0" w:type="auto"/>
        <w:tblInd w:w="392" w:type="dxa"/>
        <w:tblLook w:val="04A0"/>
      </w:tblPr>
      <w:tblGrid>
        <w:gridCol w:w="8896"/>
      </w:tblGrid>
      <w:tr w:rsidR="00280C7F" w:rsidTr="00930A5D">
        <w:tc>
          <w:tcPr>
            <w:tcW w:w="8896" w:type="dxa"/>
          </w:tcPr>
          <w:p w:rsidR="003428E1" w:rsidRPr="00CF7047" w:rsidRDefault="003428E1" w:rsidP="00930A5D">
            <w:pPr>
              <w:pStyle w:val="Odstavecseseznamem"/>
              <w:ind w:left="0"/>
              <w:jc w:val="both"/>
              <w:rPr>
                <w:color w:val="365F91" w:themeColor="accent1" w:themeShade="BF"/>
                <w:sz w:val="20"/>
                <w:szCs w:val="20"/>
              </w:rPr>
            </w:pPr>
            <w:r w:rsidRPr="00CF7047">
              <w:rPr>
                <w:color w:val="365F91" w:themeColor="accent1" w:themeShade="BF"/>
                <w:sz w:val="20"/>
                <w:szCs w:val="20"/>
              </w:rPr>
              <w:t>Žadatelem musí být vždy ORP</w:t>
            </w:r>
            <w:r w:rsidR="00711023">
              <w:rPr>
                <w:color w:val="365F91" w:themeColor="accent1" w:themeShade="BF"/>
                <w:sz w:val="20"/>
                <w:szCs w:val="20"/>
              </w:rPr>
              <w:t>, to vyplývá i ze schváleného PD IROP (viz i odpověď výše)</w:t>
            </w:r>
            <w:r w:rsidRPr="00CF7047">
              <w:rPr>
                <w:color w:val="365F91" w:themeColor="accent1" w:themeShade="BF"/>
                <w:sz w:val="20"/>
                <w:szCs w:val="20"/>
              </w:rPr>
              <w:t>.</w:t>
            </w:r>
          </w:p>
          <w:p w:rsidR="003428E1" w:rsidRPr="00CF7047" w:rsidRDefault="003428E1" w:rsidP="00930A5D">
            <w:pPr>
              <w:pStyle w:val="Odstavecseseznamem"/>
              <w:ind w:left="0"/>
              <w:jc w:val="both"/>
              <w:rPr>
                <w:color w:val="365F91" w:themeColor="accent1" w:themeShade="BF"/>
                <w:sz w:val="20"/>
                <w:szCs w:val="20"/>
              </w:rPr>
            </w:pPr>
            <w:r w:rsidRPr="00CF7047">
              <w:rPr>
                <w:color w:val="365F91" w:themeColor="accent1" w:themeShade="BF"/>
                <w:sz w:val="20"/>
                <w:szCs w:val="20"/>
              </w:rPr>
              <w:t xml:space="preserve">V 2. </w:t>
            </w:r>
            <w:r w:rsidR="00AC4883" w:rsidRPr="00CF7047">
              <w:rPr>
                <w:color w:val="365F91" w:themeColor="accent1" w:themeShade="BF"/>
                <w:sz w:val="20"/>
                <w:szCs w:val="20"/>
              </w:rPr>
              <w:t>v</w:t>
            </w:r>
            <w:r w:rsidR="00A5796F" w:rsidRPr="00CF7047">
              <w:rPr>
                <w:color w:val="365F91" w:themeColor="accent1" w:themeShade="BF"/>
                <w:sz w:val="20"/>
                <w:szCs w:val="20"/>
              </w:rPr>
              <w:t xml:space="preserve">ýzvě </w:t>
            </w:r>
            <w:r w:rsidR="00AC4883" w:rsidRPr="00CF7047">
              <w:rPr>
                <w:color w:val="365F91" w:themeColor="accent1" w:themeShade="BF"/>
                <w:sz w:val="20"/>
                <w:szCs w:val="20"/>
              </w:rPr>
              <w:t xml:space="preserve">na </w:t>
            </w:r>
            <w:r w:rsidR="00A5796F" w:rsidRPr="00CF7047">
              <w:rPr>
                <w:color w:val="365F91" w:themeColor="accent1" w:themeShade="BF"/>
                <w:sz w:val="20"/>
                <w:szCs w:val="20"/>
              </w:rPr>
              <w:t>Územní plány</w:t>
            </w:r>
            <w:r w:rsidRPr="00CF7047">
              <w:rPr>
                <w:color w:val="365F91" w:themeColor="accent1" w:themeShade="BF"/>
                <w:sz w:val="20"/>
                <w:szCs w:val="20"/>
              </w:rPr>
              <w:t xml:space="preserve"> a </w:t>
            </w:r>
            <w:r w:rsidR="00A5796F" w:rsidRPr="00CF7047">
              <w:rPr>
                <w:color w:val="365F91" w:themeColor="accent1" w:themeShade="BF"/>
                <w:sz w:val="20"/>
                <w:szCs w:val="20"/>
              </w:rPr>
              <w:t xml:space="preserve">ve 3. </w:t>
            </w:r>
            <w:r w:rsidR="00AC4883" w:rsidRPr="00CF7047">
              <w:rPr>
                <w:color w:val="365F91" w:themeColor="accent1" w:themeShade="BF"/>
                <w:sz w:val="20"/>
                <w:szCs w:val="20"/>
              </w:rPr>
              <w:t>V</w:t>
            </w:r>
            <w:r w:rsidRPr="00CF7047">
              <w:rPr>
                <w:color w:val="365F91" w:themeColor="accent1" w:themeShade="BF"/>
                <w:sz w:val="20"/>
                <w:szCs w:val="20"/>
              </w:rPr>
              <w:t>ýzvě</w:t>
            </w:r>
            <w:r w:rsidR="00AC4883" w:rsidRPr="00CF7047">
              <w:rPr>
                <w:color w:val="365F91" w:themeColor="accent1" w:themeShade="BF"/>
                <w:sz w:val="20"/>
                <w:szCs w:val="20"/>
              </w:rPr>
              <w:t xml:space="preserve"> na </w:t>
            </w:r>
            <w:r w:rsidR="00A5796F" w:rsidRPr="00CF7047">
              <w:rPr>
                <w:color w:val="365F91" w:themeColor="accent1" w:themeShade="BF"/>
                <w:sz w:val="20"/>
                <w:szCs w:val="20"/>
              </w:rPr>
              <w:t xml:space="preserve">Regulační plány </w:t>
            </w:r>
            <w:r w:rsidRPr="00CF7047">
              <w:rPr>
                <w:color w:val="365F91" w:themeColor="accent1" w:themeShade="BF"/>
                <w:sz w:val="20"/>
                <w:szCs w:val="20"/>
              </w:rPr>
              <w:t>je místem realizace území obce s rozšířenou působností. Nelze tvořit územní plány a regulační plány pro ostatní obce správního obvodu.</w:t>
            </w:r>
          </w:p>
          <w:p w:rsidR="00280C7F" w:rsidRPr="00A5796F" w:rsidRDefault="003428E1" w:rsidP="00AC4883">
            <w:pPr>
              <w:pStyle w:val="Odstavecseseznamem"/>
              <w:ind w:left="0"/>
              <w:jc w:val="both"/>
              <w:rPr>
                <w:color w:val="0070C0"/>
                <w:sz w:val="20"/>
                <w:szCs w:val="20"/>
              </w:rPr>
            </w:pPr>
            <w:r w:rsidRPr="00CF7047">
              <w:rPr>
                <w:color w:val="365F91" w:themeColor="accent1" w:themeShade="BF"/>
                <w:sz w:val="20"/>
                <w:szCs w:val="20"/>
              </w:rPr>
              <w:t>V 9. výzvě (ÚS) je místem realizace území správního obvodu obce s rozšířenou působností – je tedy možnost tvořit ÚS pro území všech obcí</w:t>
            </w:r>
            <w:r w:rsidR="00AC4883" w:rsidRPr="00CF7047">
              <w:rPr>
                <w:color w:val="365F91" w:themeColor="accent1" w:themeShade="BF"/>
                <w:sz w:val="20"/>
                <w:szCs w:val="20"/>
              </w:rPr>
              <w:t xml:space="preserve">, </w:t>
            </w:r>
            <w:r w:rsidRPr="00CF7047">
              <w:rPr>
                <w:color w:val="365F91" w:themeColor="accent1" w:themeShade="BF"/>
                <w:sz w:val="20"/>
                <w:szCs w:val="20"/>
              </w:rPr>
              <w:t>pro celý správní obvod</w:t>
            </w:r>
            <w:r w:rsidR="00AC4883" w:rsidRPr="00CF7047">
              <w:rPr>
                <w:color w:val="365F91" w:themeColor="accent1" w:themeShade="BF"/>
                <w:sz w:val="20"/>
                <w:szCs w:val="20"/>
              </w:rPr>
              <w:t xml:space="preserve"> nebo </w:t>
            </w:r>
            <w:r w:rsidRPr="00CF7047">
              <w:rPr>
                <w:color w:val="365F91" w:themeColor="accent1" w:themeShade="BF"/>
                <w:sz w:val="20"/>
                <w:szCs w:val="20"/>
              </w:rPr>
              <w:t>pro část správního obvodu.</w:t>
            </w:r>
          </w:p>
        </w:tc>
      </w:tr>
    </w:tbl>
    <w:p w:rsidR="00280C7F" w:rsidRDefault="00280C7F" w:rsidP="00280C7F">
      <w:pPr>
        <w:pStyle w:val="Odstavecseseznamem"/>
        <w:ind w:left="284"/>
        <w:jc w:val="both"/>
        <w:rPr>
          <w:rFonts w:asciiTheme="minorHAnsi" w:hAnsiTheme="minorHAnsi" w:cs="Arial"/>
          <w:sz w:val="20"/>
          <w:szCs w:val="20"/>
        </w:rPr>
      </w:pPr>
    </w:p>
    <w:p w:rsidR="00280C7F" w:rsidRDefault="003852A3" w:rsidP="00280C7F">
      <w:pPr>
        <w:pStyle w:val="Odstavecseseznamem"/>
        <w:numPr>
          <w:ilvl w:val="0"/>
          <w:numId w:val="2"/>
        </w:numPr>
        <w:ind w:left="284" w:hanging="284"/>
        <w:jc w:val="both"/>
        <w:rPr>
          <w:rFonts w:asciiTheme="minorHAnsi" w:hAnsiTheme="minorHAnsi" w:cs="Arial"/>
          <w:sz w:val="20"/>
          <w:szCs w:val="20"/>
        </w:rPr>
      </w:pPr>
      <w:r w:rsidRPr="001F692A">
        <w:rPr>
          <w:rFonts w:asciiTheme="minorHAnsi" w:hAnsiTheme="minorHAnsi" w:cs="Arial"/>
          <w:sz w:val="20"/>
          <w:szCs w:val="20"/>
        </w:rPr>
        <w:t xml:space="preserve">Reakce od ORP: paralelně se zjišťováním absorpční kapacity IROP 3.3 přes RSK si mapuje také samotné MMR absorpční kapacitu (přes odbor územního plánování) </w:t>
      </w:r>
    </w:p>
    <w:p w:rsidR="00984020" w:rsidRDefault="00984020" w:rsidP="00984020">
      <w:pPr>
        <w:pStyle w:val="Odstavecseseznamem"/>
        <w:ind w:left="284"/>
        <w:jc w:val="both"/>
        <w:rPr>
          <w:rFonts w:asciiTheme="minorHAnsi" w:hAnsiTheme="minorHAnsi" w:cs="Arial"/>
          <w:sz w:val="20"/>
          <w:szCs w:val="20"/>
        </w:rPr>
      </w:pPr>
    </w:p>
    <w:p w:rsidR="00280C7F" w:rsidRPr="00280C7F" w:rsidRDefault="00280C7F" w:rsidP="00280C7F">
      <w:pPr>
        <w:pStyle w:val="Odstavecseseznamem"/>
        <w:ind w:left="284"/>
        <w:jc w:val="both"/>
        <w:rPr>
          <w:rFonts w:asciiTheme="minorHAnsi" w:hAnsiTheme="minorHAnsi" w:cs="Arial"/>
          <w:sz w:val="20"/>
          <w:szCs w:val="20"/>
        </w:rPr>
      </w:pPr>
      <w:r w:rsidRPr="00280C7F">
        <w:rPr>
          <w:b/>
          <w:color w:val="000000" w:themeColor="text1"/>
          <w:sz w:val="20"/>
          <w:szCs w:val="20"/>
        </w:rPr>
        <w:t>Reakce ŘO IROP</w:t>
      </w:r>
    </w:p>
    <w:tbl>
      <w:tblPr>
        <w:tblStyle w:val="Mkatabulky"/>
        <w:tblW w:w="0" w:type="auto"/>
        <w:tblInd w:w="392" w:type="dxa"/>
        <w:tblLook w:val="04A0"/>
      </w:tblPr>
      <w:tblGrid>
        <w:gridCol w:w="8896"/>
      </w:tblGrid>
      <w:tr w:rsidR="00280C7F" w:rsidTr="00930A5D">
        <w:tc>
          <w:tcPr>
            <w:tcW w:w="8896" w:type="dxa"/>
          </w:tcPr>
          <w:p w:rsidR="00280C7F" w:rsidRDefault="006D59DC" w:rsidP="00AC4883">
            <w:pPr>
              <w:pStyle w:val="Odstavecseseznamem"/>
              <w:ind w:left="0"/>
              <w:jc w:val="both"/>
              <w:rPr>
                <w:color w:val="000000" w:themeColor="text1"/>
                <w:sz w:val="20"/>
                <w:szCs w:val="20"/>
              </w:rPr>
            </w:pPr>
            <w:r w:rsidRPr="00CF7047">
              <w:rPr>
                <w:color w:val="365F91" w:themeColor="accent1" w:themeShade="BF"/>
                <w:sz w:val="20"/>
                <w:szCs w:val="20"/>
              </w:rPr>
              <w:t>Pokud jsou podklady vytvořené</w:t>
            </w:r>
            <w:r w:rsidR="00196627" w:rsidRPr="00CF7047">
              <w:rPr>
                <w:color w:val="365F91" w:themeColor="accent1" w:themeShade="BF"/>
                <w:sz w:val="20"/>
                <w:szCs w:val="20"/>
              </w:rPr>
              <w:t xml:space="preserve"> pro RSK </w:t>
            </w:r>
            <w:r w:rsidR="00AC4883" w:rsidRPr="00CF7047">
              <w:rPr>
                <w:color w:val="365F91" w:themeColor="accent1" w:themeShade="BF"/>
                <w:sz w:val="20"/>
                <w:szCs w:val="20"/>
              </w:rPr>
              <w:t>nebo</w:t>
            </w:r>
            <w:r w:rsidR="00196627" w:rsidRPr="00CF7047">
              <w:rPr>
                <w:color w:val="365F91" w:themeColor="accent1" w:themeShade="BF"/>
                <w:sz w:val="20"/>
                <w:szCs w:val="20"/>
              </w:rPr>
              <w:t xml:space="preserve"> OÚP-MMR a zadání požadavků má stejný charakter, je možné použít stejný dokument.</w:t>
            </w:r>
            <w:r w:rsidRPr="00CF7047">
              <w:rPr>
                <w:color w:val="365F91" w:themeColor="accent1" w:themeShade="BF"/>
                <w:sz w:val="20"/>
                <w:szCs w:val="20"/>
              </w:rPr>
              <w:t xml:space="preserve"> Pro potřeby IROP jsou stěžejní informace na počet projektů, počet a typ pořizovaných dokumentů a odhadované finanční náklady. </w:t>
            </w:r>
            <w:r w:rsidR="00EF3B9D" w:rsidRPr="00CF7047">
              <w:rPr>
                <w:color w:val="365F91" w:themeColor="accent1" w:themeShade="BF"/>
                <w:sz w:val="20"/>
                <w:szCs w:val="20"/>
              </w:rPr>
              <w:t xml:space="preserve">Na základě podkladů z OÚP-MMR </w:t>
            </w:r>
            <w:r w:rsidR="00AC4883" w:rsidRPr="00CF7047">
              <w:rPr>
                <w:color w:val="365F91" w:themeColor="accent1" w:themeShade="BF"/>
                <w:sz w:val="20"/>
                <w:szCs w:val="20"/>
              </w:rPr>
              <w:t xml:space="preserve">předloží ŘO IROP </w:t>
            </w:r>
            <w:r w:rsidR="00A5796F" w:rsidRPr="00CF7047">
              <w:rPr>
                <w:color w:val="365F91" w:themeColor="accent1" w:themeShade="BF"/>
                <w:sz w:val="20"/>
                <w:szCs w:val="20"/>
              </w:rPr>
              <w:t>Monitorovacím</w:t>
            </w:r>
            <w:r w:rsidR="00AC4883" w:rsidRPr="00CF7047">
              <w:rPr>
                <w:color w:val="365F91" w:themeColor="accent1" w:themeShade="BF"/>
                <w:sz w:val="20"/>
                <w:szCs w:val="20"/>
              </w:rPr>
              <w:t>u</w:t>
            </w:r>
            <w:r w:rsidR="00A5796F" w:rsidRPr="00CF7047">
              <w:rPr>
                <w:color w:val="365F91" w:themeColor="accent1" w:themeShade="BF"/>
                <w:sz w:val="20"/>
                <w:szCs w:val="20"/>
              </w:rPr>
              <w:t xml:space="preserve"> výboru IROP ke schválení odstranění této podmínky pro územní plány.</w:t>
            </w:r>
          </w:p>
        </w:tc>
      </w:tr>
    </w:tbl>
    <w:p w:rsidR="001D60A4" w:rsidRPr="001F692A" w:rsidRDefault="001D60A4" w:rsidP="001F692A">
      <w:pPr>
        <w:rPr>
          <w:rFonts w:asciiTheme="minorHAnsi" w:hAnsiTheme="minorHAnsi"/>
          <w:sz w:val="20"/>
          <w:szCs w:val="20"/>
        </w:rPr>
      </w:pPr>
    </w:p>
    <w:p w:rsidR="002F79E4" w:rsidRPr="001F692A" w:rsidRDefault="00541ABA" w:rsidP="001F692A">
      <w:pPr>
        <w:rPr>
          <w:rFonts w:asciiTheme="minorHAnsi" w:hAnsiTheme="minorHAnsi"/>
          <w:b/>
          <w:sz w:val="20"/>
          <w:szCs w:val="20"/>
        </w:rPr>
      </w:pPr>
      <w:r w:rsidRPr="001F692A">
        <w:rPr>
          <w:rFonts w:asciiTheme="minorHAnsi" w:hAnsiTheme="minorHAnsi"/>
          <w:b/>
          <w:sz w:val="20"/>
          <w:szCs w:val="20"/>
        </w:rPr>
        <w:t>obecné</w:t>
      </w:r>
    </w:p>
    <w:p w:rsidR="00280C7F" w:rsidRDefault="00D31A12" w:rsidP="00280C7F">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U</w:t>
      </w:r>
      <w:r w:rsidR="001D60A4" w:rsidRPr="001F692A">
        <w:rPr>
          <w:rFonts w:asciiTheme="minorHAnsi" w:hAnsiTheme="minorHAnsi"/>
          <w:sz w:val="20"/>
          <w:szCs w:val="20"/>
        </w:rPr>
        <w:t xml:space="preserve">vítali </w:t>
      </w:r>
      <w:r w:rsidR="003852A3" w:rsidRPr="001F692A">
        <w:rPr>
          <w:rFonts w:asciiTheme="minorHAnsi" w:hAnsiTheme="minorHAnsi"/>
          <w:sz w:val="20"/>
          <w:szCs w:val="20"/>
        </w:rPr>
        <w:t xml:space="preserve">bychom </w:t>
      </w:r>
      <w:r w:rsidR="001D60A4" w:rsidRPr="001F692A">
        <w:rPr>
          <w:rFonts w:asciiTheme="minorHAnsi" w:hAnsiTheme="minorHAnsi"/>
          <w:sz w:val="20"/>
          <w:szCs w:val="20"/>
        </w:rPr>
        <w:t>i opačnou informaci z CRR, abychom věděli, kteří žadatelé na CRR chodí konzultovat projekty (uvažují o projektech) a mohli je pak oslovit pro zařazení do RAP</w:t>
      </w:r>
    </w:p>
    <w:p w:rsidR="00984020" w:rsidRDefault="00984020" w:rsidP="00984020">
      <w:pPr>
        <w:pStyle w:val="Odstavecseseznamem"/>
        <w:ind w:left="284"/>
        <w:jc w:val="both"/>
        <w:rPr>
          <w:rFonts w:asciiTheme="minorHAnsi" w:hAnsiTheme="minorHAnsi"/>
          <w:sz w:val="20"/>
          <w:szCs w:val="20"/>
        </w:rPr>
      </w:pPr>
    </w:p>
    <w:p w:rsidR="00280C7F" w:rsidRPr="00280C7F" w:rsidRDefault="00280C7F" w:rsidP="00280C7F">
      <w:pPr>
        <w:pStyle w:val="Odstavecseseznamem"/>
        <w:ind w:left="284"/>
        <w:jc w:val="both"/>
        <w:rPr>
          <w:rFonts w:asciiTheme="minorHAnsi" w:hAnsiTheme="minorHAnsi"/>
          <w:sz w:val="20"/>
          <w:szCs w:val="20"/>
        </w:rPr>
      </w:pPr>
      <w:r w:rsidRPr="00280C7F">
        <w:rPr>
          <w:b/>
          <w:color w:val="000000" w:themeColor="text1"/>
          <w:sz w:val="20"/>
          <w:szCs w:val="20"/>
        </w:rPr>
        <w:t>Reakce ŘO IROP</w:t>
      </w:r>
    </w:p>
    <w:tbl>
      <w:tblPr>
        <w:tblStyle w:val="Mkatabulky"/>
        <w:tblW w:w="0" w:type="auto"/>
        <w:tblInd w:w="392" w:type="dxa"/>
        <w:tblLook w:val="04A0"/>
      </w:tblPr>
      <w:tblGrid>
        <w:gridCol w:w="8896"/>
      </w:tblGrid>
      <w:tr w:rsidR="00280C7F" w:rsidTr="00930A5D">
        <w:tc>
          <w:tcPr>
            <w:tcW w:w="8896" w:type="dxa"/>
          </w:tcPr>
          <w:p w:rsidR="00280C7F" w:rsidRPr="00CF7047" w:rsidRDefault="00EF3B9D" w:rsidP="00930A5D">
            <w:pPr>
              <w:pStyle w:val="Odstavecseseznamem"/>
              <w:ind w:left="0"/>
              <w:jc w:val="both"/>
              <w:rPr>
                <w:color w:val="365F91" w:themeColor="accent1" w:themeShade="BF"/>
                <w:sz w:val="20"/>
                <w:szCs w:val="20"/>
              </w:rPr>
            </w:pPr>
            <w:r w:rsidRPr="00CF7047">
              <w:rPr>
                <w:color w:val="365F91" w:themeColor="accent1" w:themeShade="BF"/>
                <w:sz w:val="20"/>
                <w:szCs w:val="20"/>
              </w:rPr>
              <w:t xml:space="preserve">RSK </w:t>
            </w:r>
            <w:r w:rsidR="00AC4883" w:rsidRPr="00CF7047">
              <w:rPr>
                <w:color w:val="365F91" w:themeColor="accent1" w:themeShade="BF"/>
                <w:sz w:val="20"/>
                <w:szCs w:val="20"/>
              </w:rPr>
              <w:t xml:space="preserve">budou </w:t>
            </w:r>
            <w:r w:rsidRPr="00CF7047">
              <w:rPr>
                <w:color w:val="365F91" w:themeColor="accent1" w:themeShade="BF"/>
                <w:sz w:val="20"/>
                <w:szCs w:val="20"/>
              </w:rPr>
              <w:t xml:space="preserve">dostávat sestavy zaregistrovaných </w:t>
            </w:r>
            <w:r w:rsidR="000E0C91" w:rsidRPr="00CF7047">
              <w:rPr>
                <w:color w:val="365F91" w:themeColor="accent1" w:themeShade="BF"/>
                <w:sz w:val="20"/>
                <w:szCs w:val="20"/>
              </w:rPr>
              <w:t>projektů</w:t>
            </w:r>
            <w:r w:rsidR="00A34153" w:rsidRPr="00CF7047">
              <w:rPr>
                <w:color w:val="365F91" w:themeColor="accent1" w:themeShade="BF"/>
                <w:sz w:val="20"/>
                <w:szCs w:val="20"/>
              </w:rPr>
              <w:t xml:space="preserve"> na základě dohody s odborem regionální politiky</w:t>
            </w:r>
            <w:r w:rsidR="00AC4883" w:rsidRPr="00CF7047">
              <w:rPr>
                <w:color w:val="365F91" w:themeColor="accent1" w:themeShade="BF"/>
                <w:sz w:val="20"/>
                <w:szCs w:val="20"/>
              </w:rPr>
              <w:t>,</w:t>
            </w:r>
            <w:r w:rsidR="000E0C91" w:rsidRPr="00CF7047">
              <w:rPr>
                <w:color w:val="365F91" w:themeColor="accent1" w:themeShade="BF"/>
                <w:sz w:val="20"/>
                <w:szCs w:val="20"/>
              </w:rPr>
              <w:t xml:space="preserve"> vygenerované z MS2014+, ze kterých uvidí, které projekty jsou v systému </w:t>
            </w:r>
            <w:r w:rsidR="00A5796F" w:rsidRPr="00CF7047">
              <w:rPr>
                <w:color w:val="365F91" w:themeColor="accent1" w:themeShade="BF"/>
                <w:sz w:val="20"/>
                <w:szCs w:val="20"/>
              </w:rPr>
              <w:t>připravovány a které již předloženy.</w:t>
            </w:r>
          </w:p>
        </w:tc>
      </w:tr>
    </w:tbl>
    <w:p w:rsidR="00280C7F" w:rsidRDefault="00280C7F" w:rsidP="00280C7F">
      <w:pPr>
        <w:pStyle w:val="Odstavecseseznamem"/>
        <w:ind w:left="284"/>
        <w:jc w:val="both"/>
        <w:rPr>
          <w:rFonts w:asciiTheme="minorHAnsi" w:hAnsiTheme="minorHAnsi"/>
          <w:sz w:val="20"/>
          <w:szCs w:val="20"/>
        </w:rPr>
      </w:pPr>
    </w:p>
    <w:p w:rsidR="00280C7F" w:rsidRDefault="00D31A12" w:rsidP="00280C7F">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S</w:t>
      </w:r>
      <w:r w:rsidR="001D60A4" w:rsidRPr="001F692A">
        <w:rPr>
          <w:rFonts w:asciiTheme="minorHAnsi" w:hAnsiTheme="minorHAnsi"/>
          <w:sz w:val="20"/>
          <w:szCs w:val="20"/>
        </w:rPr>
        <w:t>ložitý způsob zasílání dotazů dotačnímu orgánu.... dotaz putuje od žadatele přes CRR na MMR, kde s deinstitucionalizací sociálních služeb nemají zkušenosti, tak dotaz předají MPSV, který dotaz zodpoví,  zašle na MMR, to pak na CRR a ten je teprve kompetentní k tomu, aby zaslal odpovědět žadateli...</w:t>
      </w:r>
      <w:r w:rsidR="001F692A" w:rsidRPr="001F692A">
        <w:rPr>
          <w:rFonts w:asciiTheme="minorHAnsi" w:hAnsiTheme="minorHAnsi"/>
          <w:sz w:val="20"/>
          <w:szCs w:val="20"/>
        </w:rPr>
        <w:t xml:space="preserve"> S</w:t>
      </w:r>
      <w:r w:rsidR="001D60A4" w:rsidRPr="001F692A">
        <w:rPr>
          <w:rFonts w:asciiTheme="minorHAnsi" w:hAnsiTheme="minorHAnsi"/>
          <w:sz w:val="20"/>
          <w:szCs w:val="20"/>
        </w:rPr>
        <w:t>  ohledem na to, že výzva je otevřená od října do března a na některé dotazy položené v říjnu nemáme doteď písemné stanovisko, tak na to je opravdu výzva otevřená krátce. V případě, že položíme dotaz přímo MPSV, abychom proces urychlili, odpoví nám hned, ale o odpověď se nelze opřít v případě rozporu, protože MPSV, které o této problematice ví nejvíc a je schopno okamžitě reagovat, není v IROPu k příjemci v žádné vztahu.</w:t>
      </w:r>
    </w:p>
    <w:p w:rsidR="00984020" w:rsidRPr="00984020" w:rsidRDefault="00984020" w:rsidP="00984020">
      <w:pPr>
        <w:jc w:val="both"/>
        <w:rPr>
          <w:rFonts w:asciiTheme="minorHAnsi" w:hAnsiTheme="minorHAnsi"/>
          <w:sz w:val="20"/>
          <w:szCs w:val="20"/>
        </w:rPr>
      </w:pPr>
    </w:p>
    <w:p w:rsidR="00280C7F" w:rsidRPr="00280C7F" w:rsidRDefault="00280C7F" w:rsidP="00280C7F">
      <w:pPr>
        <w:pStyle w:val="Odstavecseseznamem"/>
        <w:ind w:left="284"/>
        <w:jc w:val="both"/>
        <w:rPr>
          <w:rFonts w:asciiTheme="minorHAnsi" w:hAnsiTheme="minorHAnsi"/>
          <w:sz w:val="20"/>
          <w:szCs w:val="20"/>
        </w:rPr>
      </w:pPr>
      <w:r w:rsidRPr="00280C7F">
        <w:rPr>
          <w:b/>
          <w:color w:val="000000" w:themeColor="text1"/>
          <w:sz w:val="20"/>
          <w:szCs w:val="20"/>
        </w:rPr>
        <w:t>Reakce ŘO IROP</w:t>
      </w:r>
    </w:p>
    <w:tbl>
      <w:tblPr>
        <w:tblStyle w:val="Mkatabulky"/>
        <w:tblW w:w="0" w:type="auto"/>
        <w:tblInd w:w="392" w:type="dxa"/>
        <w:tblLook w:val="04A0"/>
      </w:tblPr>
      <w:tblGrid>
        <w:gridCol w:w="8896"/>
      </w:tblGrid>
      <w:tr w:rsidR="00280C7F" w:rsidTr="00930A5D">
        <w:tc>
          <w:tcPr>
            <w:tcW w:w="8896" w:type="dxa"/>
          </w:tcPr>
          <w:p w:rsidR="00280C7F" w:rsidRDefault="000E0C91" w:rsidP="0013328F">
            <w:pPr>
              <w:pStyle w:val="Odstavecseseznamem"/>
              <w:ind w:left="0"/>
              <w:jc w:val="both"/>
              <w:rPr>
                <w:color w:val="000000" w:themeColor="text1"/>
                <w:sz w:val="20"/>
                <w:szCs w:val="20"/>
              </w:rPr>
            </w:pPr>
            <w:r w:rsidRPr="00CF7047">
              <w:rPr>
                <w:color w:val="365F91" w:themeColor="accent1" w:themeShade="BF"/>
                <w:sz w:val="20"/>
                <w:szCs w:val="20"/>
              </w:rPr>
              <w:t>Bude upraveno v interních postupech mezi CRR a MMR.</w:t>
            </w:r>
            <w:r w:rsidR="00694B23">
              <w:rPr>
                <w:color w:val="365F91" w:themeColor="accent1" w:themeShade="BF"/>
                <w:sz w:val="20"/>
                <w:szCs w:val="20"/>
              </w:rPr>
              <w:t xml:space="preserve"> </w:t>
            </w:r>
          </w:p>
        </w:tc>
      </w:tr>
    </w:tbl>
    <w:p w:rsidR="002A64F1" w:rsidRPr="001F692A" w:rsidRDefault="002A64F1" w:rsidP="001F692A">
      <w:pPr>
        <w:pStyle w:val="Odstavecseseznamem"/>
        <w:ind w:left="284"/>
        <w:jc w:val="both"/>
        <w:rPr>
          <w:rFonts w:asciiTheme="minorHAnsi" w:hAnsiTheme="minorHAnsi"/>
          <w:sz w:val="20"/>
          <w:szCs w:val="20"/>
        </w:rPr>
      </w:pPr>
    </w:p>
    <w:p w:rsidR="000E0C91" w:rsidRDefault="000E0C91" w:rsidP="001F692A">
      <w:pPr>
        <w:rPr>
          <w:rFonts w:asciiTheme="minorHAnsi" w:hAnsiTheme="minorHAnsi"/>
          <w:b/>
          <w:sz w:val="20"/>
          <w:szCs w:val="20"/>
        </w:rPr>
      </w:pPr>
    </w:p>
    <w:p w:rsidR="002A64F1" w:rsidRPr="001F692A" w:rsidRDefault="002A64F1" w:rsidP="001F692A">
      <w:pPr>
        <w:rPr>
          <w:rFonts w:asciiTheme="minorHAnsi" w:hAnsiTheme="minorHAnsi"/>
          <w:b/>
          <w:sz w:val="20"/>
          <w:szCs w:val="20"/>
        </w:rPr>
      </w:pPr>
      <w:r w:rsidRPr="001F692A">
        <w:rPr>
          <w:rFonts w:asciiTheme="minorHAnsi" w:hAnsiTheme="minorHAnsi"/>
          <w:b/>
          <w:sz w:val="20"/>
          <w:szCs w:val="20"/>
        </w:rPr>
        <w:t>MS 2014+</w:t>
      </w:r>
    </w:p>
    <w:p w:rsidR="00DA0F79" w:rsidRDefault="002A64F1"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Odstranit nedostatky KP2014+ (resp. celého MS2014+). Funkcionality a procesy nefungují dle popisů v</w:t>
      </w:r>
      <w:r w:rsidR="001F692A" w:rsidRPr="001F692A">
        <w:rPr>
          <w:rFonts w:asciiTheme="minorHAnsi" w:hAnsiTheme="minorHAnsi"/>
          <w:sz w:val="20"/>
          <w:szCs w:val="20"/>
        </w:rPr>
        <w:t> </w:t>
      </w:r>
      <w:r w:rsidRPr="001F692A">
        <w:rPr>
          <w:rFonts w:asciiTheme="minorHAnsi" w:hAnsiTheme="minorHAnsi"/>
          <w:sz w:val="20"/>
          <w:szCs w:val="20"/>
        </w:rPr>
        <w:t xml:space="preserve">metodice (např. pozitivní vliv na environmentální kritéria, zakládání eCBA, vyplnění zůstatkové hodnoty), zejména při zpracování první žádosti může být zásadní překážkou, se kterou si spousta žadatelů sama neporadí. Velké množství dalších chyb (nefunguje zasílání důležitých depeší na email - o splnění přijatelnosti </w:t>
      </w:r>
      <w:r w:rsidRPr="001F692A">
        <w:rPr>
          <w:rFonts w:asciiTheme="minorHAnsi" w:hAnsiTheme="minorHAnsi"/>
          <w:sz w:val="20"/>
          <w:szCs w:val="20"/>
        </w:rPr>
        <w:lastRenderedPageBreak/>
        <w:t>a FN, ani např. o vyřazení projektu, což jsou jedny z nejdůležitějších informací pro příjemce), výsledek ex-ante analýzy rizik se i v případě kladného výsledku zobrazuje jako "nevyhověl"….</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CF7047" w:rsidRDefault="00694B23" w:rsidP="00930A5D">
            <w:pPr>
              <w:pStyle w:val="Odstavecseseznamem"/>
              <w:ind w:left="0"/>
              <w:jc w:val="both"/>
              <w:rPr>
                <w:color w:val="365F91" w:themeColor="accent1" w:themeShade="BF"/>
                <w:sz w:val="20"/>
                <w:szCs w:val="20"/>
              </w:rPr>
            </w:pPr>
            <w:r>
              <w:rPr>
                <w:color w:val="365F91" w:themeColor="accent1" w:themeShade="BF"/>
                <w:sz w:val="20"/>
                <w:szCs w:val="20"/>
              </w:rPr>
              <w:t xml:space="preserve">ŘO IROP upravuje postup vyplnění IS KP14+ v PPŽP podle vývoje úprav MS2014+. U depeší je nutné odlišit samotné depeše (zprávy v MS2014+ a notifikace na email nebo SMS). U některých procesů nechodí depeše, ŘO IROP řeší s Odborem správy monitorovacího systému, který zajišťuje od dodavatele systému přehled všech systémových depeší. Pak bude moc ŘO IROP nastavit uživatelské depeše tak, aby chodily ke všem důležitým procesům. Problém s tím, že někdy nechodí notifikace o depeši ŘO IROP řeší delší dobu s OSMS, je to mimo jeho přímou působnost. Chybné zobrazení výsledku ex-ante analýzy rizik řeší dodavatel. </w:t>
            </w:r>
          </w:p>
        </w:tc>
      </w:tr>
    </w:tbl>
    <w:p w:rsidR="00DA0F79" w:rsidRDefault="00DA0F79" w:rsidP="00DA0F79">
      <w:pPr>
        <w:pStyle w:val="Odstavecseseznamem"/>
        <w:ind w:left="284"/>
        <w:jc w:val="both"/>
        <w:rPr>
          <w:rFonts w:asciiTheme="minorHAnsi" w:hAnsiTheme="minorHAnsi"/>
          <w:sz w:val="20"/>
          <w:szCs w:val="20"/>
        </w:rPr>
      </w:pPr>
    </w:p>
    <w:p w:rsidR="00DA0F79" w:rsidRDefault="002A64F1"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Umožnit odstranění nedostatků (podání vysvětlení, doplnění beze změny informací a dokladů doložených v</w:t>
      </w:r>
      <w:r w:rsidR="001F692A" w:rsidRPr="001F692A">
        <w:rPr>
          <w:rFonts w:asciiTheme="minorHAnsi" w:hAnsiTheme="minorHAnsi"/>
          <w:sz w:val="20"/>
          <w:szCs w:val="20"/>
        </w:rPr>
        <w:t> </w:t>
      </w:r>
      <w:r w:rsidRPr="001F692A">
        <w:rPr>
          <w:rFonts w:asciiTheme="minorHAnsi" w:hAnsiTheme="minorHAnsi"/>
          <w:sz w:val="20"/>
          <w:szCs w:val="20"/>
        </w:rPr>
        <w:t>žádosti o podporu) v rámci kontroly přijatelnosti žádosti o podporu - z důvodu eliminace případů, kdy je podaná žádost o podporu vyřazena z formálních důvodů a žádost musí být předložena znovu. Zvyšuje administrativu na obou stranách (u žadatele i u CRR) a prodlužuje dobu podávání a schvalování žádostí o</w:t>
      </w:r>
      <w:r w:rsidR="001F692A" w:rsidRPr="001F692A">
        <w:rPr>
          <w:rFonts w:asciiTheme="minorHAnsi" w:hAnsiTheme="minorHAnsi"/>
          <w:sz w:val="20"/>
          <w:szCs w:val="20"/>
        </w:rPr>
        <w:t> </w:t>
      </w:r>
      <w:r w:rsidRPr="001F692A">
        <w:rPr>
          <w:rFonts w:asciiTheme="minorHAnsi" w:hAnsiTheme="minorHAnsi"/>
          <w:sz w:val="20"/>
          <w:szCs w:val="20"/>
        </w:rPr>
        <w:t>podporu.</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Default="005D3425" w:rsidP="00CF7047">
            <w:pPr>
              <w:jc w:val="both"/>
              <w:rPr>
                <w:color w:val="000000" w:themeColor="text1"/>
                <w:sz w:val="20"/>
                <w:szCs w:val="20"/>
              </w:rPr>
            </w:pPr>
            <w:r w:rsidRPr="00CF7047">
              <w:rPr>
                <w:color w:val="365F91" w:themeColor="accent1" w:themeShade="BF"/>
                <w:sz w:val="20"/>
                <w:szCs w:val="20"/>
              </w:rPr>
              <w:t>Pokud při kontrole formálních náležitostí žadatel nesplní jedno či více kritérií, je žadatel vyzván k doplnění žádosti. U přijatelnosti tato možnost není. Vyplývá to z Metodického pokynu pro řízení výzev.</w:t>
            </w:r>
            <w:r w:rsidR="0013328F">
              <w:rPr>
                <w:color w:val="365F91" w:themeColor="accent1" w:themeShade="BF"/>
                <w:sz w:val="20"/>
                <w:szCs w:val="20"/>
              </w:rPr>
              <w:t xml:space="preserve"> ŘO IROP od počátku tuto možnost prosazuje. </w:t>
            </w:r>
          </w:p>
        </w:tc>
      </w:tr>
    </w:tbl>
    <w:p w:rsidR="00DA0F79" w:rsidRPr="001F692A" w:rsidRDefault="00DA0F79" w:rsidP="00DA0F79">
      <w:pPr>
        <w:pStyle w:val="Odstavecseseznamem"/>
        <w:ind w:left="284"/>
        <w:jc w:val="both"/>
        <w:rPr>
          <w:rFonts w:asciiTheme="minorHAnsi" w:hAnsiTheme="minorHAnsi"/>
          <w:sz w:val="20"/>
          <w:szCs w:val="20"/>
        </w:rPr>
      </w:pPr>
    </w:p>
    <w:p w:rsidR="00DA0F79" w:rsidRDefault="002A64F1"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Systémové depeše neobsahují reg. č. ani název projektu.</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694B23" w:rsidRDefault="00694B23" w:rsidP="00930A5D">
            <w:pPr>
              <w:pStyle w:val="Odstavecseseznamem"/>
              <w:ind w:left="0"/>
              <w:jc w:val="both"/>
              <w:rPr>
                <w:color w:val="365F91" w:themeColor="accent1" w:themeShade="BF"/>
                <w:sz w:val="20"/>
                <w:szCs w:val="20"/>
              </w:rPr>
            </w:pPr>
            <w:r w:rsidRPr="00694B23">
              <w:rPr>
                <w:color w:val="365F91" w:themeColor="accent1" w:themeShade="BF"/>
                <w:sz w:val="20"/>
                <w:szCs w:val="20"/>
              </w:rPr>
              <w:t>Prosím o konkrétní přiklad, abychom to mohli řešit.</w:t>
            </w:r>
          </w:p>
        </w:tc>
      </w:tr>
    </w:tbl>
    <w:p w:rsidR="00DA0F79" w:rsidRDefault="00DA0F79" w:rsidP="00DA0F79">
      <w:pPr>
        <w:pStyle w:val="Odstavecseseznamem"/>
        <w:ind w:left="284"/>
        <w:jc w:val="both"/>
        <w:rPr>
          <w:rFonts w:asciiTheme="minorHAnsi" w:hAnsiTheme="minorHAnsi"/>
          <w:sz w:val="20"/>
          <w:szCs w:val="20"/>
        </w:rPr>
      </w:pPr>
    </w:p>
    <w:p w:rsidR="00DA0F79" w:rsidRDefault="002A64F1"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Výstupy systému KP2014+ - příjemce má povinnost vést dokumentaci projektu, systém ale neumožňuje tisk depeší, pořizování PrtSc obrazovek počítače je krok zpět…</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694B23" w:rsidRDefault="00694B23" w:rsidP="00694B23">
            <w:pPr>
              <w:pStyle w:val="Odstavecseseznamem"/>
              <w:ind w:left="0"/>
              <w:jc w:val="both"/>
              <w:rPr>
                <w:color w:val="365F91" w:themeColor="accent1" w:themeShade="BF"/>
                <w:sz w:val="20"/>
                <w:szCs w:val="20"/>
              </w:rPr>
            </w:pPr>
            <w:r w:rsidRPr="00694B23">
              <w:rPr>
                <w:color w:val="365F91" w:themeColor="accent1" w:themeShade="BF"/>
                <w:sz w:val="20"/>
                <w:szCs w:val="20"/>
              </w:rPr>
              <w:t>ŘO IROP zadal již dříve požadavek na rozvoj systému ohledně možnosti tisknout depeše v KP14+.</w:t>
            </w:r>
          </w:p>
        </w:tc>
      </w:tr>
    </w:tbl>
    <w:p w:rsidR="00DA0F79" w:rsidRDefault="00DA0F79" w:rsidP="00DA0F79">
      <w:pPr>
        <w:pStyle w:val="Odstavecseseznamem"/>
        <w:ind w:left="284"/>
        <w:jc w:val="both"/>
        <w:rPr>
          <w:rFonts w:asciiTheme="minorHAnsi" w:hAnsiTheme="minorHAnsi"/>
          <w:sz w:val="20"/>
          <w:szCs w:val="20"/>
        </w:rPr>
      </w:pPr>
    </w:p>
    <w:p w:rsidR="00DA0F79" w:rsidRDefault="002A64F1" w:rsidP="00DA0F79">
      <w:pPr>
        <w:pStyle w:val="Odstavecseseznamem"/>
        <w:ind w:left="284"/>
        <w:jc w:val="both"/>
        <w:rPr>
          <w:rFonts w:asciiTheme="minorHAnsi" w:hAnsiTheme="minorHAnsi"/>
          <w:sz w:val="20"/>
          <w:szCs w:val="20"/>
        </w:rPr>
      </w:pPr>
      <w:r w:rsidRPr="001F692A">
        <w:rPr>
          <w:rFonts w:asciiTheme="minorHAnsi" w:hAnsiTheme="minorHAnsi"/>
          <w:sz w:val="20"/>
          <w:szCs w:val="20"/>
        </w:rPr>
        <w:t>Omezení depeší na 2000 znaků - omezení např. při výzvách k odstranění nedostatků se text nevejde do zprávy, stejně tak při použití depeše s funkcí odpovědět se do 2000 znaků počítá i původní zpráva</w:t>
      </w:r>
      <w:r w:rsidR="001F692A" w:rsidRPr="001F692A">
        <w:rPr>
          <w:rFonts w:asciiTheme="minorHAnsi" w:hAnsiTheme="minorHAnsi"/>
          <w:sz w:val="20"/>
          <w:szCs w:val="20"/>
        </w:rPr>
        <w:t>,</w:t>
      </w:r>
      <w:r w:rsidRPr="001F692A">
        <w:rPr>
          <w:rFonts w:asciiTheme="minorHAnsi" w:hAnsiTheme="minorHAnsi"/>
          <w:sz w:val="20"/>
          <w:szCs w:val="20"/>
        </w:rPr>
        <w:t xml:space="preserve"> na kterou se odpovídá</w:t>
      </w:r>
      <w:r w:rsidR="00DA0F79">
        <w:rPr>
          <w:rFonts w:asciiTheme="minorHAnsi" w:hAnsiTheme="minorHAnsi"/>
          <w:sz w:val="20"/>
          <w:szCs w:val="20"/>
        </w:rPr>
        <w:t>.</w:t>
      </w:r>
    </w:p>
    <w:p w:rsidR="00984020" w:rsidRDefault="00984020" w:rsidP="00DA0F79">
      <w:pPr>
        <w:pStyle w:val="Odstavecseseznamem"/>
        <w:ind w:left="284"/>
        <w:jc w:val="both"/>
        <w:rPr>
          <w:b/>
          <w:color w:val="000000" w:themeColor="text1"/>
          <w:sz w:val="20"/>
          <w:szCs w:val="20"/>
        </w:rPr>
      </w:pPr>
    </w:p>
    <w:p w:rsidR="00DA0F79" w:rsidRPr="008A36A8" w:rsidRDefault="00DA0F79" w:rsidP="00DA0F79">
      <w:pPr>
        <w:pStyle w:val="Odstavecseseznamem"/>
        <w:ind w:left="284"/>
        <w:jc w:val="both"/>
        <w:rPr>
          <w:b/>
          <w:color w:val="000000" w:themeColor="text1"/>
          <w:sz w:val="20"/>
          <w:szCs w:val="20"/>
        </w:rPr>
      </w:pPr>
      <w:r w:rsidRPr="008A36A8">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0820D5" w:rsidRDefault="000820D5" w:rsidP="00930A5D">
            <w:pPr>
              <w:pStyle w:val="Odstavecseseznamem"/>
              <w:ind w:left="0"/>
              <w:jc w:val="both"/>
              <w:rPr>
                <w:color w:val="365F91" w:themeColor="accent1" w:themeShade="BF"/>
                <w:sz w:val="20"/>
                <w:szCs w:val="20"/>
              </w:rPr>
            </w:pPr>
            <w:r w:rsidRPr="000820D5">
              <w:rPr>
                <w:color w:val="365F91" w:themeColor="accent1" w:themeShade="BF"/>
                <w:sz w:val="20"/>
                <w:szCs w:val="20"/>
              </w:rPr>
              <w:t xml:space="preserve">ŘO IROP prověří </w:t>
            </w:r>
            <w:r w:rsidR="00D52E38">
              <w:rPr>
                <w:color w:val="365F91" w:themeColor="accent1" w:themeShade="BF"/>
                <w:sz w:val="20"/>
                <w:szCs w:val="20"/>
              </w:rPr>
              <w:t xml:space="preserve">s OSMS </w:t>
            </w:r>
            <w:r w:rsidRPr="000820D5">
              <w:rPr>
                <w:color w:val="365F91" w:themeColor="accent1" w:themeShade="BF"/>
                <w:sz w:val="20"/>
                <w:szCs w:val="20"/>
              </w:rPr>
              <w:t>možnost rozšíření počtu znaků.</w:t>
            </w:r>
          </w:p>
        </w:tc>
      </w:tr>
    </w:tbl>
    <w:p w:rsidR="002A64F1" w:rsidRPr="001F692A" w:rsidRDefault="002A64F1" w:rsidP="00DA0F79">
      <w:pPr>
        <w:pStyle w:val="Odstavecseseznamem"/>
        <w:ind w:left="284"/>
        <w:jc w:val="both"/>
        <w:rPr>
          <w:rFonts w:asciiTheme="minorHAnsi" w:hAnsiTheme="minorHAnsi"/>
          <w:sz w:val="20"/>
          <w:szCs w:val="20"/>
        </w:rPr>
      </w:pPr>
    </w:p>
    <w:p w:rsidR="00DA0F79" w:rsidRDefault="002A64F1" w:rsidP="00DA0F79">
      <w:pPr>
        <w:pStyle w:val="Odstavecseseznamem"/>
        <w:numPr>
          <w:ilvl w:val="0"/>
          <w:numId w:val="2"/>
        </w:numPr>
        <w:ind w:left="284" w:hanging="284"/>
        <w:jc w:val="both"/>
        <w:rPr>
          <w:rFonts w:asciiTheme="minorHAnsi" w:hAnsiTheme="minorHAnsi"/>
          <w:sz w:val="20"/>
          <w:szCs w:val="20"/>
        </w:rPr>
      </w:pPr>
      <w:r w:rsidRPr="001F692A">
        <w:rPr>
          <w:rFonts w:asciiTheme="minorHAnsi" w:hAnsiTheme="minorHAnsi"/>
          <w:sz w:val="20"/>
          <w:szCs w:val="20"/>
        </w:rPr>
        <w:t xml:space="preserve">Informovat žadatele o aktualizaci podmínek. Nyní jsou aktualizace podmínek uveřejňovány na webu IROPu a žadatel/příjemce musí stránky kontrolovat, zda není uveřejněn nový dokument. Zasílání novinek při aktualizaci stránek IROPu buď nefunguje vůbec, nebo jen občas, čímž se stává nespolehlivým. Návrh </w:t>
      </w:r>
      <w:r w:rsidR="001F692A" w:rsidRPr="001F692A">
        <w:rPr>
          <w:rFonts w:asciiTheme="minorHAnsi" w:hAnsiTheme="minorHAnsi"/>
          <w:sz w:val="20"/>
          <w:szCs w:val="20"/>
        </w:rPr>
        <w:t>–</w:t>
      </w:r>
      <w:r w:rsidRPr="001F692A">
        <w:rPr>
          <w:rFonts w:asciiTheme="minorHAnsi" w:hAnsiTheme="minorHAnsi"/>
          <w:sz w:val="20"/>
          <w:szCs w:val="20"/>
        </w:rPr>
        <w:t xml:space="preserve"> u</w:t>
      </w:r>
      <w:r w:rsidR="001F692A" w:rsidRPr="001F692A">
        <w:rPr>
          <w:rFonts w:asciiTheme="minorHAnsi" w:hAnsiTheme="minorHAnsi"/>
          <w:sz w:val="20"/>
          <w:szCs w:val="20"/>
        </w:rPr>
        <w:t> </w:t>
      </w:r>
      <w:r w:rsidRPr="001F692A">
        <w:rPr>
          <w:rFonts w:asciiTheme="minorHAnsi" w:hAnsiTheme="minorHAnsi"/>
          <w:sz w:val="20"/>
          <w:szCs w:val="20"/>
        </w:rPr>
        <w:t>zaregistrovaných uživatelů v KP (se založenou žádostí o podporu v konkrétní výzvě, nebo s již podanou žádostí) systémově zasílat informaci kontaktním osobám projektu, že ve specifických pravidlech pro danou výzvu (nebo v obecných pravidlech pro všechny výzvy) došlo k aktualizaci. V současnosti jsou vyhlašovány výzvy, které obsahují nejasnosti a nedostatky, které jsou následně v běžící výzvě řešeny aktualizací podmínek výzvy (nebo obecných pravidel), což může být pro žadatele matoucí.</w:t>
      </w:r>
    </w:p>
    <w:p w:rsidR="00984020" w:rsidRDefault="00984020" w:rsidP="00984020">
      <w:pPr>
        <w:pStyle w:val="Odstavecseseznamem"/>
        <w:ind w:left="284"/>
        <w:jc w:val="both"/>
        <w:rPr>
          <w:rFonts w:asciiTheme="minorHAnsi" w:hAnsiTheme="minorHAnsi"/>
          <w:sz w:val="20"/>
          <w:szCs w:val="20"/>
        </w:rPr>
      </w:pPr>
    </w:p>
    <w:p w:rsidR="00DA0F79" w:rsidRPr="00DA0F79" w:rsidRDefault="00DA0F79" w:rsidP="00DA0F79">
      <w:pPr>
        <w:pStyle w:val="Odstavecseseznamem"/>
        <w:ind w:left="284"/>
        <w:jc w:val="both"/>
        <w:rPr>
          <w:rFonts w:asciiTheme="minorHAnsi" w:hAnsiTheme="minorHAnsi"/>
          <w:sz w:val="20"/>
          <w:szCs w:val="20"/>
        </w:rPr>
      </w:pPr>
      <w:r w:rsidRPr="00DA0F79">
        <w:rPr>
          <w:b/>
          <w:color w:val="000000" w:themeColor="text1"/>
          <w:sz w:val="20"/>
          <w:szCs w:val="20"/>
        </w:rPr>
        <w:t>Reakce ŘO IROP:</w:t>
      </w:r>
    </w:p>
    <w:tbl>
      <w:tblPr>
        <w:tblStyle w:val="Mkatabulky"/>
        <w:tblW w:w="0" w:type="auto"/>
        <w:tblInd w:w="392" w:type="dxa"/>
        <w:tblLook w:val="04A0"/>
      </w:tblPr>
      <w:tblGrid>
        <w:gridCol w:w="8896"/>
      </w:tblGrid>
      <w:tr w:rsidR="00DA0F79" w:rsidTr="00930A5D">
        <w:tc>
          <w:tcPr>
            <w:tcW w:w="8896" w:type="dxa"/>
          </w:tcPr>
          <w:p w:rsidR="00DA0F79" w:rsidRPr="00C20A14" w:rsidRDefault="00C20A14" w:rsidP="00C20A14">
            <w:pPr>
              <w:pStyle w:val="Odstavecseseznamem"/>
              <w:ind w:left="0"/>
              <w:jc w:val="both"/>
              <w:rPr>
                <w:color w:val="365F91" w:themeColor="accent1" w:themeShade="BF"/>
                <w:sz w:val="20"/>
                <w:szCs w:val="20"/>
              </w:rPr>
            </w:pPr>
            <w:r w:rsidRPr="00C20A14">
              <w:rPr>
                <w:color w:val="365F91" w:themeColor="accent1" w:themeShade="BF"/>
                <w:sz w:val="20"/>
                <w:szCs w:val="20"/>
              </w:rPr>
              <w:t>ŘO IROP ověří funkčnost zasílání novinek při aktualizaci stránek IROP. ŘO IROP prověří technické možnosti zasílat depeši projektům rozpracovaným nebo předloženým v IROP po aktualizaci Pravidel pro žadatele a příjemce. V současnosti nelze zasílat hromadné depeše jen projektům IROP.</w:t>
            </w:r>
          </w:p>
        </w:tc>
      </w:tr>
    </w:tbl>
    <w:p w:rsidR="00DA0F79" w:rsidRPr="001F692A" w:rsidRDefault="00DA0F79" w:rsidP="00DA0F79">
      <w:pPr>
        <w:pStyle w:val="Odstavecseseznamem"/>
        <w:ind w:left="284"/>
        <w:jc w:val="both"/>
        <w:rPr>
          <w:rFonts w:asciiTheme="minorHAnsi" w:hAnsiTheme="minorHAnsi"/>
          <w:sz w:val="20"/>
          <w:szCs w:val="20"/>
        </w:rPr>
      </w:pPr>
    </w:p>
    <w:sectPr w:rsidR="00DA0F79" w:rsidRPr="001F692A" w:rsidSect="002244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B6" w:rsidRDefault="00AE4CB6" w:rsidP="00F04B23">
      <w:r>
        <w:separator/>
      </w:r>
    </w:p>
  </w:endnote>
  <w:endnote w:type="continuationSeparator" w:id="0">
    <w:p w:rsidR="00AE4CB6" w:rsidRDefault="00AE4CB6" w:rsidP="00F04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2871"/>
      <w:docPartObj>
        <w:docPartGallery w:val="Page Numbers (Bottom of Page)"/>
        <w:docPartUnique/>
      </w:docPartObj>
    </w:sdtPr>
    <w:sdtContent>
      <w:sdt>
        <w:sdtPr>
          <w:id w:val="-1669238322"/>
          <w:docPartObj>
            <w:docPartGallery w:val="Page Numbers (Top of Page)"/>
            <w:docPartUnique/>
          </w:docPartObj>
        </w:sdtPr>
        <w:sdtContent>
          <w:p w:rsidR="001A0542" w:rsidRDefault="001A0542">
            <w:pPr>
              <w:pStyle w:val="Zpat"/>
              <w:jc w:val="center"/>
            </w:pPr>
            <w:r>
              <w:t xml:space="preserve">Stránka </w:t>
            </w:r>
            <w:r w:rsidR="00FF4221">
              <w:rPr>
                <w:b/>
                <w:bCs/>
                <w:sz w:val="24"/>
                <w:szCs w:val="24"/>
              </w:rPr>
              <w:fldChar w:fldCharType="begin"/>
            </w:r>
            <w:r>
              <w:rPr>
                <w:b/>
                <w:bCs/>
              </w:rPr>
              <w:instrText>PAGE</w:instrText>
            </w:r>
            <w:r w:rsidR="00FF4221">
              <w:rPr>
                <w:b/>
                <w:bCs/>
                <w:sz w:val="24"/>
                <w:szCs w:val="24"/>
              </w:rPr>
              <w:fldChar w:fldCharType="separate"/>
            </w:r>
            <w:r w:rsidR="00C56E05">
              <w:rPr>
                <w:b/>
                <w:bCs/>
                <w:noProof/>
              </w:rPr>
              <w:t>9</w:t>
            </w:r>
            <w:r w:rsidR="00FF4221">
              <w:rPr>
                <w:b/>
                <w:bCs/>
                <w:sz w:val="24"/>
                <w:szCs w:val="24"/>
              </w:rPr>
              <w:fldChar w:fldCharType="end"/>
            </w:r>
            <w:r>
              <w:t xml:space="preserve"> z </w:t>
            </w:r>
            <w:r w:rsidR="00FF4221">
              <w:rPr>
                <w:b/>
                <w:bCs/>
                <w:sz w:val="24"/>
                <w:szCs w:val="24"/>
              </w:rPr>
              <w:fldChar w:fldCharType="begin"/>
            </w:r>
            <w:r>
              <w:rPr>
                <w:b/>
                <w:bCs/>
              </w:rPr>
              <w:instrText>NUMPAGES</w:instrText>
            </w:r>
            <w:r w:rsidR="00FF4221">
              <w:rPr>
                <w:b/>
                <w:bCs/>
                <w:sz w:val="24"/>
                <w:szCs w:val="24"/>
              </w:rPr>
              <w:fldChar w:fldCharType="separate"/>
            </w:r>
            <w:r w:rsidR="00C56E05">
              <w:rPr>
                <w:b/>
                <w:bCs/>
                <w:noProof/>
              </w:rPr>
              <w:t>9</w:t>
            </w:r>
            <w:r w:rsidR="00FF4221">
              <w:rPr>
                <w:b/>
                <w:bCs/>
                <w:sz w:val="24"/>
                <w:szCs w:val="24"/>
              </w:rPr>
              <w:fldChar w:fldCharType="end"/>
            </w:r>
          </w:p>
        </w:sdtContent>
      </w:sdt>
    </w:sdtContent>
  </w:sdt>
  <w:p w:rsidR="00930A5D" w:rsidRDefault="00930A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B6" w:rsidRDefault="00AE4CB6" w:rsidP="00F04B23">
      <w:r>
        <w:separator/>
      </w:r>
    </w:p>
  </w:footnote>
  <w:footnote w:type="continuationSeparator" w:id="0">
    <w:p w:rsidR="00AE4CB6" w:rsidRDefault="00AE4CB6" w:rsidP="00F04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A5D" w:rsidRDefault="00930A5D">
    <w:pPr>
      <w:pStyle w:val="Zhlav"/>
      <w:rPr>
        <w:i/>
        <w:sz w:val="18"/>
        <w:szCs w:val="18"/>
      </w:rPr>
    </w:pPr>
    <w:r>
      <w:rPr>
        <w:i/>
        <w:sz w:val="18"/>
        <w:szCs w:val="18"/>
      </w:rPr>
      <w:t>Verze 27</w:t>
    </w:r>
    <w:r w:rsidRPr="00F04B23">
      <w:rPr>
        <w:i/>
        <w:sz w:val="18"/>
        <w:szCs w:val="18"/>
      </w:rPr>
      <w:t>.</w:t>
    </w:r>
    <w:r>
      <w:rPr>
        <w:i/>
        <w:sz w:val="18"/>
        <w:szCs w:val="18"/>
      </w:rPr>
      <w:t xml:space="preserve"> </w:t>
    </w:r>
    <w:r w:rsidRPr="00F04B23">
      <w:rPr>
        <w:i/>
        <w:sz w:val="18"/>
        <w:szCs w:val="18"/>
      </w:rPr>
      <w:t>1.</w:t>
    </w:r>
    <w:r>
      <w:rPr>
        <w:i/>
        <w:sz w:val="18"/>
        <w:szCs w:val="18"/>
      </w:rPr>
      <w:t xml:space="preserve"> </w:t>
    </w:r>
    <w:r w:rsidRPr="00F04B23">
      <w:rPr>
        <w:i/>
        <w:sz w:val="18"/>
        <w:szCs w:val="18"/>
      </w:rPr>
      <w:t>2016</w:t>
    </w:r>
    <w:r>
      <w:rPr>
        <w:i/>
        <w:sz w:val="18"/>
        <w:szCs w:val="18"/>
      </w:rPr>
      <w:t>, zpracováno z podkladů sekretariátů  RSK</w:t>
    </w:r>
  </w:p>
  <w:p w:rsidR="001A0542" w:rsidRPr="00F04B23" w:rsidRDefault="001A0542">
    <w:pPr>
      <w:pStyle w:val="Zhlav"/>
      <w:rPr>
        <w:i/>
        <w:sz w:val="18"/>
        <w:szCs w:val="18"/>
      </w:rPr>
    </w:pPr>
    <w:r w:rsidRPr="001A0542">
      <w:rPr>
        <w:noProof/>
        <w:lang w:eastAsia="cs-CZ"/>
      </w:rPr>
      <w:drawing>
        <wp:inline distT="0" distB="0" distL="0" distR="0">
          <wp:extent cx="4200525" cy="68897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6889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7CE"/>
    <w:multiLevelType w:val="hybridMultilevel"/>
    <w:tmpl w:val="89EE191C"/>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E8254EB"/>
    <w:multiLevelType w:val="hybridMultilevel"/>
    <w:tmpl w:val="1C16C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081440"/>
    <w:multiLevelType w:val="hybridMultilevel"/>
    <w:tmpl w:val="4F861D56"/>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
    <w:nsid w:val="32EA6B6B"/>
    <w:multiLevelType w:val="hybridMultilevel"/>
    <w:tmpl w:val="5A2EEA42"/>
    <w:lvl w:ilvl="0" w:tplc="04050011">
      <w:start w:val="1"/>
      <w:numFmt w:val="decimal"/>
      <w:lvlText w:val="%1)"/>
      <w:lvlJc w:val="left"/>
      <w:pPr>
        <w:ind w:left="2487" w:hanging="360"/>
      </w:pPr>
    </w:lvl>
    <w:lvl w:ilvl="1" w:tplc="04050019">
      <w:start w:val="1"/>
      <w:numFmt w:val="lowerLetter"/>
      <w:lvlText w:val="%2."/>
      <w:lvlJc w:val="left"/>
      <w:pPr>
        <w:ind w:left="3207" w:hanging="360"/>
      </w:pPr>
    </w:lvl>
    <w:lvl w:ilvl="2" w:tplc="0405001B">
      <w:start w:val="1"/>
      <w:numFmt w:val="lowerRoman"/>
      <w:lvlText w:val="%3."/>
      <w:lvlJc w:val="right"/>
      <w:pPr>
        <w:ind w:left="3927" w:hanging="180"/>
      </w:pPr>
    </w:lvl>
    <w:lvl w:ilvl="3" w:tplc="0405000F">
      <w:start w:val="1"/>
      <w:numFmt w:val="decimal"/>
      <w:lvlText w:val="%4."/>
      <w:lvlJc w:val="left"/>
      <w:pPr>
        <w:ind w:left="4647" w:hanging="360"/>
      </w:pPr>
    </w:lvl>
    <w:lvl w:ilvl="4" w:tplc="04050019">
      <w:start w:val="1"/>
      <w:numFmt w:val="lowerLetter"/>
      <w:lvlText w:val="%5."/>
      <w:lvlJc w:val="left"/>
      <w:pPr>
        <w:ind w:left="5367" w:hanging="360"/>
      </w:pPr>
    </w:lvl>
    <w:lvl w:ilvl="5" w:tplc="0405001B">
      <w:start w:val="1"/>
      <w:numFmt w:val="lowerRoman"/>
      <w:lvlText w:val="%6."/>
      <w:lvlJc w:val="right"/>
      <w:pPr>
        <w:ind w:left="6087" w:hanging="180"/>
      </w:pPr>
    </w:lvl>
    <w:lvl w:ilvl="6" w:tplc="0405000F">
      <w:start w:val="1"/>
      <w:numFmt w:val="decimal"/>
      <w:lvlText w:val="%7."/>
      <w:lvlJc w:val="left"/>
      <w:pPr>
        <w:ind w:left="6807" w:hanging="360"/>
      </w:pPr>
    </w:lvl>
    <w:lvl w:ilvl="7" w:tplc="04050019">
      <w:start w:val="1"/>
      <w:numFmt w:val="lowerLetter"/>
      <w:lvlText w:val="%8."/>
      <w:lvlJc w:val="left"/>
      <w:pPr>
        <w:ind w:left="7527" w:hanging="360"/>
      </w:pPr>
    </w:lvl>
    <w:lvl w:ilvl="8" w:tplc="0405001B">
      <w:start w:val="1"/>
      <w:numFmt w:val="lowerRoman"/>
      <w:lvlText w:val="%9."/>
      <w:lvlJc w:val="right"/>
      <w:pPr>
        <w:ind w:left="8247" w:hanging="180"/>
      </w:pPr>
    </w:lvl>
  </w:abstractNum>
  <w:abstractNum w:abstractNumId="4">
    <w:nsid w:val="34D92EDA"/>
    <w:multiLevelType w:val="hybridMultilevel"/>
    <w:tmpl w:val="58FE8C18"/>
    <w:lvl w:ilvl="0" w:tplc="1F6CBEC6">
      <w:start w:val="2"/>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nsid w:val="42F74633"/>
    <w:multiLevelType w:val="hybridMultilevel"/>
    <w:tmpl w:val="A668984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FF6477B"/>
    <w:multiLevelType w:val="hybridMultilevel"/>
    <w:tmpl w:val="E0F811D2"/>
    <w:lvl w:ilvl="0" w:tplc="1F6CBEC6">
      <w:start w:val="2"/>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21E0D2E"/>
    <w:multiLevelType w:val="hybridMultilevel"/>
    <w:tmpl w:val="890C36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3E70892"/>
    <w:multiLevelType w:val="hybridMultilevel"/>
    <w:tmpl w:val="170A21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75D4A73"/>
    <w:multiLevelType w:val="hybridMultilevel"/>
    <w:tmpl w:val="A67A42FC"/>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9E739DE"/>
    <w:multiLevelType w:val="hybridMultilevel"/>
    <w:tmpl w:val="0E28952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BDA34CB"/>
    <w:multiLevelType w:val="multilevel"/>
    <w:tmpl w:val="870A03CA"/>
    <w:lvl w:ilvl="0">
      <w:start w:val="1"/>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7F2F7250"/>
    <w:multiLevelType w:val="hybridMultilevel"/>
    <w:tmpl w:val="4FB0975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3"/>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261A6"/>
    <w:rsid w:val="00006E09"/>
    <w:rsid w:val="00011EB4"/>
    <w:rsid w:val="000149D4"/>
    <w:rsid w:val="0001562F"/>
    <w:rsid w:val="000164A5"/>
    <w:rsid w:val="00022B89"/>
    <w:rsid w:val="00032B13"/>
    <w:rsid w:val="000369FB"/>
    <w:rsid w:val="000370D7"/>
    <w:rsid w:val="00050E2D"/>
    <w:rsid w:val="000522C6"/>
    <w:rsid w:val="00053577"/>
    <w:rsid w:val="00055880"/>
    <w:rsid w:val="00056EBA"/>
    <w:rsid w:val="00057B46"/>
    <w:rsid w:val="00067A49"/>
    <w:rsid w:val="0007314A"/>
    <w:rsid w:val="000820D5"/>
    <w:rsid w:val="00090046"/>
    <w:rsid w:val="000900E3"/>
    <w:rsid w:val="000A3C2A"/>
    <w:rsid w:val="000A52A5"/>
    <w:rsid w:val="000A58B0"/>
    <w:rsid w:val="000B217B"/>
    <w:rsid w:val="000B248F"/>
    <w:rsid w:val="000D6C3F"/>
    <w:rsid w:val="000E0C91"/>
    <w:rsid w:val="000E5987"/>
    <w:rsid w:val="00101366"/>
    <w:rsid w:val="00122B65"/>
    <w:rsid w:val="0013328F"/>
    <w:rsid w:val="00135F2A"/>
    <w:rsid w:val="001447CA"/>
    <w:rsid w:val="0014660C"/>
    <w:rsid w:val="001525EF"/>
    <w:rsid w:val="001551D5"/>
    <w:rsid w:val="00163030"/>
    <w:rsid w:val="00170114"/>
    <w:rsid w:val="00171B68"/>
    <w:rsid w:val="00181646"/>
    <w:rsid w:val="001852F2"/>
    <w:rsid w:val="001911B0"/>
    <w:rsid w:val="001928F2"/>
    <w:rsid w:val="00196627"/>
    <w:rsid w:val="001A0542"/>
    <w:rsid w:val="001A0E1E"/>
    <w:rsid w:val="001A6FF2"/>
    <w:rsid w:val="001C5B61"/>
    <w:rsid w:val="001D60A4"/>
    <w:rsid w:val="001E4A92"/>
    <w:rsid w:val="001F3A35"/>
    <w:rsid w:val="001F692A"/>
    <w:rsid w:val="00214A59"/>
    <w:rsid w:val="002229C4"/>
    <w:rsid w:val="00224462"/>
    <w:rsid w:val="0022458C"/>
    <w:rsid w:val="002305E6"/>
    <w:rsid w:val="002369AF"/>
    <w:rsid w:val="00240892"/>
    <w:rsid w:val="00244D31"/>
    <w:rsid w:val="00266CEC"/>
    <w:rsid w:val="002717CA"/>
    <w:rsid w:val="002733B5"/>
    <w:rsid w:val="00280C7F"/>
    <w:rsid w:val="002853DF"/>
    <w:rsid w:val="002855AF"/>
    <w:rsid w:val="00291E0F"/>
    <w:rsid w:val="00295488"/>
    <w:rsid w:val="002A007C"/>
    <w:rsid w:val="002A64F1"/>
    <w:rsid w:val="002B536C"/>
    <w:rsid w:val="002C7579"/>
    <w:rsid w:val="002D240D"/>
    <w:rsid w:val="002E3FDC"/>
    <w:rsid w:val="002E6070"/>
    <w:rsid w:val="002F79E4"/>
    <w:rsid w:val="002F7FFD"/>
    <w:rsid w:val="003176D5"/>
    <w:rsid w:val="0032098C"/>
    <w:rsid w:val="00335014"/>
    <w:rsid w:val="00340513"/>
    <w:rsid w:val="003428E1"/>
    <w:rsid w:val="0034677C"/>
    <w:rsid w:val="003515D5"/>
    <w:rsid w:val="0035330E"/>
    <w:rsid w:val="00357912"/>
    <w:rsid w:val="00370179"/>
    <w:rsid w:val="00382FA2"/>
    <w:rsid w:val="00383288"/>
    <w:rsid w:val="003852A3"/>
    <w:rsid w:val="003972ED"/>
    <w:rsid w:val="003A2741"/>
    <w:rsid w:val="003A728E"/>
    <w:rsid w:val="003B11A5"/>
    <w:rsid w:val="003B6CAB"/>
    <w:rsid w:val="003F2267"/>
    <w:rsid w:val="004014DF"/>
    <w:rsid w:val="00401861"/>
    <w:rsid w:val="0040315B"/>
    <w:rsid w:val="00403BE0"/>
    <w:rsid w:val="0042387E"/>
    <w:rsid w:val="00426603"/>
    <w:rsid w:val="00432153"/>
    <w:rsid w:val="004366C5"/>
    <w:rsid w:val="00456C51"/>
    <w:rsid w:val="00461FC2"/>
    <w:rsid w:val="00480614"/>
    <w:rsid w:val="004818E1"/>
    <w:rsid w:val="0048217A"/>
    <w:rsid w:val="0048678A"/>
    <w:rsid w:val="004A66AF"/>
    <w:rsid w:val="004B05A0"/>
    <w:rsid w:val="004B1557"/>
    <w:rsid w:val="004C6EF5"/>
    <w:rsid w:val="004D78EE"/>
    <w:rsid w:val="004E72D7"/>
    <w:rsid w:val="004F0E08"/>
    <w:rsid w:val="004F146A"/>
    <w:rsid w:val="004F62C0"/>
    <w:rsid w:val="005159E0"/>
    <w:rsid w:val="00517519"/>
    <w:rsid w:val="00523C72"/>
    <w:rsid w:val="00524B1B"/>
    <w:rsid w:val="00530DC8"/>
    <w:rsid w:val="00541ABA"/>
    <w:rsid w:val="0056082F"/>
    <w:rsid w:val="005811C7"/>
    <w:rsid w:val="005849A7"/>
    <w:rsid w:val="00591949"/>
    <w:rsid w:val="005948CA"/>
    <w:rsid w:val="005C4A55"/>
    <w:rsid w:val="005D3425"/>
    <w:rsid w:val="005E537C"/>
    <w:rsid w:val="005E63D9"/>
    <w:rsid w:val="005E73BA"/>
    <w:rsid w:val="00623FD4"/>
    <w:rsid w:val="00624375"/>
    <w:rsid w:val="00626B3F"/>
    <w:rsid w:val="00654462"/>
    <w:rsid w:val="00691ABF"/>
    <w:rsid w:val="00694B23"/>
    <w:rsid w:val="00696418"/>
    <w:rsid w:val="006B123F"/>
    <w:rsid w:val="006B2469"/>
    <w:rsid w:val="006C058D"/>
    <w:rsid w:val="006C4C68"/>
    <w:rsid w:val="006C62A0"/>
    <w:rsid w:val="006C77E2"/>
    <w:rsid w:val="006D443E"/>
    <w:rsid w:val="006D59DC"/>
    <w:rsid w:val="006E2960"/>
    <w:rsid w:val="006F7468"/>
    <w:rsid w:val="00711023"/>
    <w:rsid w:val="00713559"/>
    <w:rsid w:val="007159C5"/>
    <w:rsid w:val="00725705"/>
    <w:rsid w:val="00725CB1"/>
    <w:rsid w:val="007523E2"/>
    <w:rsid w:val="00757DFC"/>
    <w:rsid w:val="00761926"/>
    <w:rsid w:val="00793C78"/>
    <w:rsid w:val="00795E6E"/>
    <w:rsid w:val="007B1786"/>
    <w:rsid w:val="007B4325"/>
    <w:rsid w:val="007C4C5E"/>
    <w:rsid w:val="007E0245"/>
    <w:rsid w:val="007F10D6"/>
    <w:rsid w:val="007F3513"/>
    <w:rsid w:val="0081156F"/>
    <w:rsid w:val="00815F34"/>
    <w:rsid w:val="00823BD2"/>
    <w:rsid w:val="00824D2E"/>
    <w:rsid w:val="00833F60"/>
    <w:rsid w:val="00837415"/>
    <w:rsid w:val="00845C59"/>
    <w:rsid w:val="008826AE"/>
    <w:rsid w:val="0089234F"/>
    <w:rsid w:val="00892C5A"/>
    <w:rsid w:val="008A1464"/>
    <w:rsid w:val="008A36A8"/>
    <w:rsid w:val="008C6522"/>
    <w:rsid w:val="008D4A0D"/>
    <w:rsid w:val="008D7306"/>
    <w:rsid w:val="008F2400"/>
    <w:rsid w:val="008F6D95"/>
    <w:rsid w:val="009157A9"/>
    <w:rsid w:val="009235A3"/>
    <w:rsid w:val="00930A5D"/>
    <w:rsid w:val="009508A2"/>
    <w:rsid w:val="00964B11"/>
    <w:rsid w:val="009701A5"/>
    <w:rsid w:val="00981E3D"/>
    <w:rsid w:val="00984020"/>
    <w:rsid w:val="009A33ED"/>
    <w:rsid w:val="009B4B96"/>
    <w:rsid w:val="009B4BC0"/>
    <w:rsid w:val="009B6ACF"/>
    <w:rsid w:val="009C5AC5"/>
    <w:rsid w:val="009C5EB8"/>
    <w:rsid w:val="009C7F8B"/>
    <w:rsid w:val="00A002A2"/>
    <w:rsid w:val="00A1335F"/>
    <w:rsid w:val="00A21138"/>
    <w:rsid w:val="00A24C3B"/>
    <w:rsid w:val="00A2521D"/>
    <w:rsid w:val="00A33814"/>
    <w:rsid w:val="00A34153"/>
    <w:rsid w:val="00A40644"/>
    <w:rsid w:val="00A41359"/>
    <w:rsid w:val="00A5796F"/>
    <w:rsid w:val="00A6447A"/>
    <w:rsid w:val="00A64586"/>
    <w:rsid w:val="00A97E1B"/>
    <w:rsid w:val="00AA2A60"/>
    <w:rsid w:val="00AB6A8E"/>
    <w:rsid w:val="00AC3321"/>
    <w:rsid w:val="00AC4883"/>
    <w:rsid w:val="00AD0BA6"/>
    <w:rsid w:val="00AD4F10"/>
    <w:rsid w:val="00AE13F0"/>
    <w:rsid w:val="00AE4CB6"/>
    <w:rsid w:val="00AE4F31"/>
    <w:rsid w:val="00AE5B8D"/>
    <w:rsid w:val="00B078EC"/>
    <w:rsid w:val="00B12AE8"/>
    <w:rsid w:val="00B14A8E"/>
    <w:rsid w:val="00B16DB7"/>
    <w:rsid w:val="00B261A6"/>
    <w:rsid w:val="00B266C7"/>
    <w:rsid w:val="00B33FE1"/>
    <w:rsid w:val="00B504E4"/>
    <w:rsid w:val="00B57847"/>
    <w:rsid w:val="00B60643"/>
    <w:rsid w:val="00B652FB"/>
    <w:rsid w:val="00B72396"/>
    <w:rsid w:val="00B84C3F"/>
    <w:rsid w:val="00B84CD2"/>
    <w:rsid w:val="00B85DB9"/>
    <w:rsid w:val="00B867D3"/>
    <w:rsid w:val="00B90C7D"/>
    <w:rsid w:val="00BA5207"/>
    <w:rsid w:val="00BB1C9F"/>
    <w:rsid w:val="00BB3A78"/>
    <w:rsid w:val="00BB5A21"/>
    <w:rsid w:val="00BD1AAD"/>
    <w:rsid w:val="00C04948"/>
    <w:rsid w:val="00C14946"/>
    <w:rsid w:val="00C20A14"/>
    <w:rsid w:val="00C25A7D"/>
    <w:rsid w:val="00C2715F"/>
    <w:rsid w:val="00C27479"/>
    <w:rsid w:val="00C34F5A"/>
    <w:rsid w:val="00C428EB"/>
    <w:rsid w:val="00C56E05"/>
    <w:rsid w:val="00C614D4"/>
    <w:rsid w:val="00C83315"/>
    <w:rsid w:val="00C860B6"/>
    <w:rsid w:val="00C9379A"/>
    <w:rsid w:val="00C9493D"/>
    <w:rsid w:val="00CA0EE3"/>
    <w:rsid w:val="00CA288A"/>
    <w:rsid w:val="00CA7105"/>
    <w:rsid w:val="00CB1F12"/>
    <w:rsid w:val="00CB2FB5"/>
    <w:rsid w:val="00CC0A93"/>
    <w:rsid w:val="00CD4886"/>
    <w:rsid w:val="00CE28E2"/>
    <w:rsid w:val="00CF6C8D"/>
    <w:rsid w:val="00CF7047"/>
    <w:rsid w:val="00D03F12"/>
    <w:rsid w:val="00D0696D"/>
    <w:rsid w:val="00D30B84"/>
    <w:rsid w:val="00D31A12"/>
    <w:rsid w:val="00D46CFC"/>
    <w:rsid w:val="00D513E8"/>
    <w:rsid w:val="00D52E38"/>
    <w:rsid w:val="00DA0F79"/>
    <w:rsid w:val="00DC7AF0"/>
    <w:rsid w:val="00DF54C5"/>
    <w:rsid w:val="00E008EA"/>
    <w:rsid w:val="00E00B7F"/>
    <w:rsid w:val="00E02E94"/>
    <w:rsid w:val="00E35307"/>
    <w:rsid w:val="00E46C29"/>
    <w:rsid w:val="00E47469"/>
    <w:rsid w:val="00E47913"/>
    <w:rsid w:val="00E64C53"/>
    <w:rsid w:val="00E67B11"/>
    <w:rsid w:val="00E862EB"/>
    <w:rsid w:val="00E91223"/>
    <w:rsid w:val="00E9781F"/>
    <w:rsid w:val="00EA489E"/>
    <w:rsid w:val="00EA625A"/>
    <w:rsid w:val="00ED013C"/>
    <w:rsid w:val="00EE3B8B"/>
    <w:rsid w:val="00EE6740"/>
    <w:rsid w:val="00EE6787"/>
    <w:rsid w:val="00EF01A8"/>
    <w:rsid w:val="00EF02B4"/>
    <w:rsid w:val="00EF092D"/>
    <w:rsid w:val="00EF3B9D"/>
    <w:rsid w:val="00F024D1"/>
    <w:rsid w:val="00F04B23"/>
    <w:rsid w:val="00F052DB"/>
    <w:rsid w:val="00F168A4"/>
    <w:rsid w:val="00F35EE8"/>
    <w:rsid w:val="00F37370"/>
    <w:rsid w:val="00F6232E"/>
    <w:rsid w:val="00F703C9"/>
    <w:rsid w:val="00F773AD"/>
    <w:rsid w:val="00F862E3"/>
    <w:rsid w:val="00F90910"/>
    <w:rsid w:val="00F91107"/>
    <w:rsid w:val="00FD2282"/>
    <w:rsid w:val="00FE48B7"/>
    <w:rsid w:val="00FF4221"/>
    <w:rsid w:val="00FF78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61A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List Paragraph"/>
    <w:basedOn w:val="Normln"/>
    <w:link w:val="OdstavecseseznamemChar"/>
    <w:uiPriority w:val="34"/>
    <w:qFormat/>
    <w:rsid w:val="00B14A8E"/>
    <w:pPr>
      <w:ind w:left="720"/>
    </w:pPr>
  </w:style>
  <w:style w:type="paragraph" w:styleId="Zhlav">
    <w:name w:val="header"/>
    <w:basedOn w:val="Normln"/>
    <w:link w:val="ZhlavChar"/>
    <w:uiPriority w:val="99"/>
    <w:unhideWhenUsed/>
    <w:rsid w:val="00F04B23"/>
    <w:pPr>
      <w:tabs>
        <w:tab w:val="center" w:pos="4536"/>
        <w:tab w:val="right" w:pos="9072"/>
      </w:tabs>
    </w:pPr>
  </w:style>
  <w:style w:type="character" w:customStyle="1" w:styleId="ZhlavChar">
    <w:name w:val="Záhlaví Char"/>
    <w:basedOn w:val="Standardnpsmoodstavce"/>
    <w:link w:val="Zhlav"/>
    <w:uiPriority w:val="99"/>
    <w:rsid w:val="00F04B23"/>
    <w:rPr>
      <w:rFonts w:ascii="Calibri" w:hAnsi="Calibri" w:cs="Times New Roman"/>
    </w:rPr>
  </w:style>
  <w:style w:type="paragraph" w:styleId="Zpat">
    <w:name w:val="footer"/>
    <w:basedOn w:val="Normln"/>
    <w:link w:val="ZpatChar"/>
    <w:uiPriority w:val="99"/>
    <w:unhideWhenUsed/>
    <w:rsid w:val="00F04B23"/>
    <w:pPr>
      <w:tabs>
        <w:tab w:val="center" w:pos="4536"/>
        <w:tab w:val="right" w:pos="9072"/>
      </w:tabs>
    </w:pPr>
  </w:style>
  <w:style w:type="character" w:customStyle="1" w:styleId="ZpatChar">
    <w:name w:val="Zápatí Char"/>
    <w:basedOn w:val="Standardnpsmoodstavce"/>
    <w:link w:val="Zpat"/>
    <w:uiPriority w:val="99"/>
    <w:rsid w:val="00F04B23"/>
    <w:rPr>
      <w:rFonts w:ascii="Calibri" w:hAnsi="Calibri" w:cs="Times New Roman"/>
    </w:rPr>
  </w:style>
  <w:style w:type="character" w:customStyle="1" w:styleId="OdstavecseseznamemChar">
    <w:name w:val="Odstavec se seznamem Char"/>
    <w:aliases w:val="Nad Char,Odstavec cíl se seznamem Char,Odstavec se seznamem5 Char,Odstavec_muj Char,List Paragraph Char"/>
    <w:basedOn w:val="Standardnpsmoodstavce"/>
    <w:link w:val="Odstavecseseznamem"/>
    <w:uiPriority w:val="34"/>
    <w:locked/>
    <w:rsid w:val="000D6C3F"/>
    <w:rPr>
      <w:rFonts w:ascii="Calibri" w:hAnsi="Calibri" w:cs="Times New Roman"/>
    </w:rPr>
  </w:style>
  <w:style w:type="table" w:styleId="Mkatabulky">
    <w:name w:val="Table Grid"/>
    <w:basedOn w:val="Normlntabulka"/>
    <w:uiPriority w:val="59"/>
    <w:rsid w:val="008A3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B536C"/>
    <w:rPr>
      <w:color w:val="0000FF" w:themeColor="hyperlink"/>
      <w:u w:val="single"/>
    </w:rPr>
  </w:style>
  <w:style w:type="paragraph" w:styleId="Textbubliny">
    <w:name w:val="Balloon Text"/>
    <w:basedOn w:val="Normln"/>
    <w:link w:val="TextbublinyChar"/>
    <w:uiPriority w:val="99"/>
    <w:semiHidden/>
    <w:unhideWhenUsed/>
    <w:rsid w:val="00357912"/>
    <w:rPr>
      <w:rFonts w:ascii="Tahoma" w:hAnsi="Tahoma" w:cs="Tahoma"/>
      <w:sz w:val="16"/>
      <w:szCs w:val="16"/>
    </w:rPr>
  </w:style>
  <w:style w:type="character" w:customStyle="1" w:styleId="TextbublinyChar">
    <w:name w:val="Text bubliny Char"/>
    <w:basedOn w:val="Standardnpsmoodstavce"/>
    <w:link w:val="Textbubliny"/>
    <w:uiPriority w:val="99"/>
    <w:semiHidden/>
    <w:rsid w:val="00357912"/>
    <w:rPr>
      <w:rFonts w:ascii="Tahoma" w:hAnsi="Tahoma" w:cs="Tahoma"/>
      <w:sz w:val="16"/>
      <w:szCs w:val="16"/>
    </w:rPr>
  </w:style>
  <w:style w:type="character" w:styleId="Odkaznakoment">
    <w:name w:val="annotation reference"/>
    <w:basedOn w:val="Standardnpsmoodstavce"/>
    <w:uiPriority w:val="99"/>
    <w:semiHidden/>
    <w:unhideWhenUsed/>
    <w:rsid w:val="0048217A"/>
    <w:rPr>
      <w:sz w:val="16"/>
      <w:szCs w:val="16"/>
    </w:rPr>
  </w:style>
  <w:style w:type="paragraph" w:styleId="Textkomente">
    <w:name w:val="annotation text"/>
    <w:basedOn w:val="Normln"/>
    <w:link w:val="TextkomenteChar"/>
    <w:uiPriority w:val="99"/>
    <w:unhideWhenUsed/>
    <w:rsid w:val="0048217A"/>
    <w:rPr>
      <w:sz w:val="20"/>
      <w:szCs w:val="20"/>
    </w:rPr>
  </w:style>
  <w:style w:type="character" w:customStyle="1" w:styleId="TextkomenteChar">
    <w:name w:val="Text komentáře Char"/>
    <w:basedOn w:val="Standardnpsmoodstavce"/>
    <w:link w:val="Textkomente"/>
    <w:uiPriority w:val="99"/>
    <w:rsid w:val="0048217A"/>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8217A"/>
    <w:rPr>
      <w:b/>
      <w:bCs/>
    </w:rPr>
  </w:style>
  <w:style w:type="character" w:customStyle="1" w:styleId="PedmtkomenteChar">
    <w:name w:val="Předmět komentáře Char"/>
    <w:basedOn w:val="TextkomenteChar"/>
    <w:link w:val="Pedmtkomente"/>
    <w:uiPriority w:val="99"/>
    <w:semiHidden/>
    <w:rsid w:val="0048217A"/>
    <w:rPr>
      <w:rFonts w:ascii="Calibri" w:hAnsi="Calibri" w:cs="Times New Roman"/>
      <w:b/>
      <w:bCs/>
      <w:sz w:val="20"/>
      <w:szCs w:val="20"/>
    </w:rPr>
  </w:style>
  <w:style w:type="paragraph" w:customStyle="1" w:styleId="Default">
    <w:name w:val="Default"/>
    <w:rsid w:val="00AA2A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61A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List Paragraph"/>
    <w:basedOn w:val="Normln"/>
    <w:link w:val="OdstavecseseznamemChar"/>
    <w:uiPriority w:val="34"/>
    <w:qFormat/>
    <w:rsid w:val="00B14A8E"/>
    <w:pPr>
      <w:ind w:left="720"/>
    </w:pPr>
  </w:style>
  <w:style w:type="paragraph" w:styleId="Zhlav">
    <w:name w:val="header"/>
    <w:basedOn w:val="Normln"/>
    <w:link w:val="ZhlavChar"/>
    <w:uiPriority w:val="99"/>
    <w:unhideWhenUsed/>
    <w:rsid w:val="00F04B23"/>
    <w:pPr>
      <w:tabs>
        <w:tab w:val="center" w:pos="4536"/>
        <w:tab w:val="right" w:pos="9072"/>
      </w:tabs>
    </w:pPr>
  </w:style>
  <w:style w:type="character" w:customStyle="1" w:styleId="ZhlavChar">
    <w:name w:val="Záhlaví Char"/>
    <w:basedOn w:val="Standardnpsmoodstavce"/>
    <w:link w:val="Zhlav"/>
    <w:uiPriority w:val="99"/>
    <w:rsid w:val="00F04B23"/>
    <w:rPr>
      <w:rFonts w:ascii="Calibri" w:hAnsi="Calibri" w:cs="Times New Roman"/>
    </w:rPr>
  </w:style>
  <w:style w:type="paragraph" w:styleId="Zpat">
    <w:name w:val="footer"/>
    <w:basedOn w:val="Normln"/>
    <w:link w:val="ZpatChar"/>
    <w:uiPriority w:val="99"/>
    <w:unhideWhenUsed/>
    <w:rsid w:val="00F04B23"/>
    <w:pPr>
      <w:tabs>
        <w:tab w:val="center" w:pos="4536"/>
        <w:tab w:val="right" w:pos="9072"/>
      </w:tabs>
    </w:pPr>
  </w:style>
  <w:style w:type="character" w:customStyle="1" w:styleId="ZpatChar">
    <w:name w:val="Zápatí Char"/>
    <w:basedOn w:val="Standardnpsmoodstavce"/>
    <w:link w:val="Zpat"/>
    <w:uiPriority w:val="99"/>
    <w:rsid w:val="00F04B23"/>
    <w:rPr>
      <w:rFonts w:ascii="Calibri" w:hAnsi="Calibri" w:cs="Times New Roman"/>
    </w:rPr>
  </w:style>
  <w:style w:type="character" w:customStyle="1" w:styleId="OdstavecseseznamemChar">
    <w:name w:val="Odstavec se seznamem Char"/>
    <w:aliases w:val="Nad Char,Odstavec cíl se seznamem Char,Odstavec se seznamem5 Char,Odstavec_muj Char,List Paragraph Char"/>
    <w:basedOn w:val="Standardnpsmoodstavce"/>
    <w:link w:val="Odstavecseseznamem"/>
    <w:uiPriority w:val="34"/>
    <w:locked/>
    <w:rsid w:val="000D6C3F"/>
    <w:rPr>
      <w:rFonts w:ascii="Calibri" w:hAnsi="Calibri" w:cs="Times New Roman"/>
    </w:rPr>
  </w:style>
  <w:style w:type="table" w:styleId="Mkatabulky">
    <w:name w:val="Table Grid"/>
    <w:basedOn w:val="Normlntabulka"/>
    <w:uiPriority w:val="59"/>
    <w:rsid w:val="008A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B536C"/>
    <w:rPr>
      <w:color w:val="0000FF" w:themeColor="hyperlink"/>
      <w:u w:val="single"/>
    </w:rPr>
  </w:style>
  <w:style w:type="paragraph" w:styleId="Textbubliny">
    <w:name w:val="Balloon Text"/>
    <w:basedOn w:val="Normln"/>
    <w:link w:val="TextbublinyChar"/>
    <w:uiPriority w:val="99"/>
    <w:semiHidden/>
    <w:unhideWhenUsed/>
    <w:rsid w:val="00357912"/>
    <w:rPr>
      <w:rFonts w:ascii="Tahoma" w:hAnsi="Tahoma" w:cs="Tahoma"/>
      <w:sz w:val="16"/>
      <w:szCs w:val="16"/>
    </w:rPr>
  </w:style>
  <w:style w:type="character" w:customStyle="1" w:styleId="TextbublinyChar">
    <w:name w:val="Text bubliny Char"/>
    <w:basedOn w:val="Standardnpsmoodstavce"/>
    <w:link w:val="Textbubliny"/>
    <w:uiPriority w:val="99"/>
    <w:semiHidden/>
    <w:rsid w:val="00357912"/>
    <w:rPr>
      <w:rFonts w:ascii="Tahoma" w:hAnsi="Tahoma" w:cs="Tahoma"/>
      <w:sz w:val="16"/>
      <w:szCs w:val="16"/>
    </w:rPr>
  </w:style>
  <w:style w:type="character" w:styleId="Odkaznakoment">
    <w:name w:val="annotation reference"/>
    <w:basedOn w:val="Standardnpsmoodstavce"/>
    <w:uiPriority w:val="99"/>
    <w:semiHidden/>
    <w:unhideWhenUsed/>
    <w:rsid w:val="0048217A"/>
    <w:rPr>
      <w:sz w:val="16"/>
      <w:szCs w:val="16"/>
    </w:rPr>
  </w:style>
  <w:style w:type="paragraph" w:styleId="Textkomente">
    <w:name w:val="annotation text"/>
    <w:basedOn w:val="Normln"/>
    <w:link w:val="TextkomenteChar"/>
    <w:uiPriority w:val="99"/>
    <w:unhideWhenUsed/>
    <w:rsid w:val="0048217A"/>
    <w:rPr>
      <w:sz w:val="20"/>
      <w:szCs w:val="20"/>
    </w:rPr>
  </w:style>
  <w:style w:type="character" w:customStyle="1" w:styleId="TextkomenteChar">
    <w:name w:val="Text komentáře Char"/>
    <w:basedOn w:val="Standardnpsmoodstavce"/>
    <w:link w:val="Textkomente"/>
    <w:uiPriority w:val="99"/>
    <w:rsid w:val="0048217A"/>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8217A"/>
    <w:rPr>
      <w:b/>
      <w:bCs/>
    </w:rPr>
  </w:style>
  <w:style w:type="character" w:customStyle="1" w:styleId="PedmtkomenteChar">
    <w:name w:val="Předmět komentáře Char"/>
    <w:basedOn w:val="TextkomenteChar"/>
    <w:link w:val="Pedmtkomente"/>
    <w:uiPriority w:val="99"/>
    <w:semiHidden/>
    <w:rsid w:val="0048217A"/>
    <w:rPr>
      <w:rFonts w:ascii="Calibri" w:hAnsi="Calibri" w:cs="Times New Roman"/>
      <w:b/>
      <w:bCs/>
      <w:sz w:val="20"/>
      <w:szCs w:val="20"/>
    </w:rPr>
  </w:style>
  <w:style w:type="paragraph" w:customStyle="1" w:styleId="Default">
    <w:name w:val="Default"/>
    <w:rsid w:val="00AA2A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882318">
      <w:bodyDiv w:val="1"/>
      <w:marLeft w:val="0"/>
      <w:marRight w:val="0"/>
      <w:marTop w:val="0"/>
      <w:marBottom w:val="0"/>
      <w:divBdr>
        <w:top w:val="none" w:sz="0" w:space="0" w:color="auto"/>
        <w:left w:val="none" w:sz="0" w:space="0" w:color="auto"/>
        <w:bottom w:val="none" w:sz="0" w:space="0" w:color="auto"/>
        <w:right w:val="none" w:sz="0" w:space="0" w:color="auto"/>
      </w:divBdr>
    </w:div>
    <w:div w:id="69470253">
      <w:bodyDiv w:val="1"/>
      <w:marLeft w:val="0"/>
      <w:marRight w:val="0"/>
      <w:marTop w:val="0"/>
      <w:marBottom w:val="0"/>
      <w:divBdr>
        <w:top w:val="none" w:sz="0" w:space="0" w:color="auto"/>
        <w:left w:val="none" w:sz="0" w:space="0" w:color="auto"/>
        <w:bottom w:val="none" w:sz="0" w:space="0" w:color="auto"/>
        <w:right w:val="none" w:sz="0" w:space="0" w:color="auto"/>
      </w:divBdr>
    </w:div>
    <w:div w:id="355619371">
      <w:bodyDiv w:val="1"/>
      <w:marLeft w:val="0"/>
      <w:marRight w:val="0"/>
      <w:marTop w:val="0"/>
      <w:marBottom w:val="0"/>
      <w:divBdr>
        <w:top w:val="none" w:sz="0" w:space="0" w:color="auto"/>
        <w:left w:val="none" w:sz="0" w:space="0" w:color="auto"/>
        <w:bottom w:val="none" w:sz="0" w:space="0" w:color="auto"/>
        <w:right w:val="none" w:sz="0" w:space="0" w:color="auto"/>
      </w:divBdr>
    </w:div>
    <w:div w:id="618146297">
      <w:bodyDiv w:val="1"/>
      <w:marLeft w:val="0"/>
      <w:marRight w:val="0"/>
      <w:marTop w:val="0"/>
      <w:marBottom w:val="0"/>
      <w:divBdr>
        <w:top w:val="none" w:sz="0" w:space="0" w:color="auto"/>
        <w:left w:val="none" w:sz="0" w:space="0" w:color="auto"/>
        <w:bottom w:val="none" w:sz="0" w:space="0" w:color="auto"/>
        <w:right w:val="none" w:sz="0" w:space="0" w:color="auto"/>
      </w:divBdr>
    </w:div>
    <w:div w:id="653607369">
      <w:bodyDiv w:val="1"/>
      <w:marLeft w:val="0"/>
      <w:marRight w:val="0"/>
      <w:marTop w:val="0"/>
      <w:marBottom w:val="0"/>
      <w:divBdr>
        <w:top w:val="none" w:sz="0" w:space="0" w:color="auto"/>
        <w:left w:val="none" w:sz="0" w:space="0" w:color="auto"/>
        <w:bottom w:val="none" w:sz="0" w:space="0" w:color="auto"/>
        <w:right w:val="none" w:sz="0" w:space="0" w:color="auto"/>
      </w:divBdr>
    </w:div>
    <w:div w:id="914586549">
      <w:bodyDiv w:val="1"/>
      <w:marLeft w:val="0"/>
      <w:marRight w:val="0"/>
      <w:marTop w:val="0"/>
      <w:marBottom w:val="0"/>
      <w:divBdr>
        <w:top w:val="none" w:sz="0" w:space="0" w:color="auto"/>
        <w:left w:val="none" w:sz="0" w:space="0" w:color="auto"/>
        <w:bottom w:val="none" w:sz="0" w:space="0" w:color="auto"/>
        <w:right w:val="none" w:sz="0" w:space="0" w:color="auto"/>
      </w:divBdr>
    </w:div>
    <w:div w:id="935596945">
      <w:bodyDiv w:val="1"/>
      <w:marLeft w:val="0"/>
      <w:marRight w:val="0"/>
      <w:marTop w:val="0"/>
      <w:marBottom w:val="0"/>
      <w:divBdr>
        <w:top w:val="none" w:sz="0" w:space="0" w:color="auto"/>
        <w:left w:val="none" w:sz="0" w:space="0" w:color="auto"/>
        <w:bottom w:val="none" w:sz="0" w:space="0" w:color="auto"/>
        <w:right w:val="none" w:sz="0" w:space="0" w:color="auto"/>
      </w:divBdr>
    </w:div>
    <w:div w:id="938217832">
      <w:bodyDiv w:val="1"/>
      <w:marLeft w:val="0"/>
      <w:marRight w:val="0"/>
      <w:marTop w:val="0"/>
      <w:marBottom w:val="0"/>
      <w:divBdr>
        <w:top w:val="none" w:sz="0" w:space="0" w:color="auto"/>
        <w:left w:val="none" w:sz="0" w:space="0" w:color="auto"/>
        <w:bottom w:val="none" w:sz="0" w:space="0" w:color="auto"/>
        <w:right w:val="none" w:sz="0" w:space="0" w:color="auto"/>
      </w:divBdr>
    </w:div>
    <w:div w:id="1052772749">
      <w:bodyDiv w:val="1"/>
      <w:marLeft w:val="0"/>
      <w:marRight w:val="0"/>
      <w:marTop w:val="0"/>
      <w:marBottom w:val="0"/>
      <w:divBdr>
        <w:top w:val="none" w:sz="0" w:space="0" w:color="auto"/>
        <w:left w:val="none" w:sz="0" w:space="0" w:color="auto"/>
        <w:bottom w:val="none" w:sz="0" w:space="0" w:color="auto"/>
        <w:right w:val="none" w:sz="0" w:space="0" w:color="auto"/>
      </w:divBdr>
    </w:div>
    <w:div w:id="1256786509">
      <w:bodyDiv w:val="1"/>
      <w:marLeft w:val="0"/>
      <w:marRight w:val="0"/>
      <w:marTop w:val="0"/>
      <w:marBottom w:val="0"/>
      <w:divBdr>
        <w:top w:val="none" w:sz="0" w:space="0" w:color="auto"/>
        <w:left w:val="none" w:sz="0" w:space="0" w:color="auto"/>
        <w:bottom w:val="none" w:sz="0" w:space="0" w:color="auto"/>
        <w:right w:val="none" w:sz="0" w:space="0" w:color="auto"/>
      </w:divBdr>
    </w:div>
    <w:div w:id="1382899666">
      <w:bodyDiv w:val="1"/>
      <w:marLeft w:val="0"/>
      <w:marRight w:val="0"/>
      <w:marTop w:val="0"/>
      <w:marBottom w:val="0"/>
      <w:divBdr>
        <w:top w:val="none" w:sz="0" w:space="0" w:color="auto"/>
        <w:left w:val="none" w:sz="0" w:space="0" w:color="auto"/>
        <w:bottom w:val="none" w:sz="0" w:space="0" w:color="auto"/>
        <w:right w:val="none" w:sz="0" w:space="0" w:color="auto"/>
      </w:divBdr>
    </w:div>
    <w:div w:id="1553076086">
      <w:bodyDiv w:val="1"/>
      <w:marLeft w:val="0"/>
      <w:marRight w:val="0"/>
      <w:marTop w:val="0"/>
      <w:marBottom w:val="0"/>
      <w:divBdr>
        <w:top w:val="none" w:sz="0" w:space="0" w:color="auto"/>
        <w:left w:val="none" w:sz="0" w:space="0" w:color="auto"/>
        <w:bottom w:val="none" w:sz="0" w:space="0" w:color="auto"/>
        <w:right w:val="none" w:sz="0" w:space="0" w:color="auto"/>
      </w:divBdr>
    </w:div>
    <w:div w:id="1721973813">
      <w:bodyDiv w:val="1"/>
      <w:marLeft w:val="0"/>
      <w:marRight w:val="0"/>
      <w:marTop w:val="0"/>
      <w:marBottom w:val="0"/>
      <w:divBdr>
        <w:top w:val="none" w:sz="0" w:space="0" w:color="auto"/>
        <w:left w:val="none" w:sz="0" w:space="0" w:color="auto"/>
        <w:bottom w:val="none" w:sz="0" w:space="0" w:color="auto"/>
        <w:right w:val="none" w:sz="0" w:space="0" w:color="auto"/>
      </w:divBdr>
    </w:div>
    <w:div w:id="1926064185">
      <w:bodyDiv w:val="1"/>
      <w:marLeft w:val="0"/>
      <w:marRight w:val="0"/>
      <w:marTop w:val="0"/>
      <w:marBottom w:val="0"/>
      <w:divBdr>
        <w:top w:val="none" w:sz="0" w:space="0" w:color="auto"/>
        <w:left w:val="none" w:sz="0" w:space="0" w:color="auto"/>
        <w:bottom w:val="none" w:sz="0" w:space="0" w:color="auto"/>
        <w:right w:val="none" w:sz="0" w:space="0" w:color="auto"/>
      </w:divBdr>
    </w:div>
    <w:div w:id="1927152931">
      <w:bodyDiv w:val="1"/>
      <w:marLeft w:val="0"/>
      <w:marRight w:val="0"/>
      <w:marTop w:val="0"/>
      <w:marBottom w:val="0"/>
      <w:divBdr>
        <w:top w:val="none" w:sz="0" w:space="0" w:color="auto"/>
        <w:left w:val="none" w:sz="0" w:space="0" w:color="auto"/>
        <w:bottom w:val="none" w:sz="0" w:space="0" w:color="auto"/>
        <w:right w:val="none" w:sz="0" w:space="0" w:color="auto"/>
      </w:divBdr>
    </w:div>
    <w:div w:id="20869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aceeu.cz/cs/Microsites/IROP/Vyzvy/Vyhlaseni-vyzvy-c-4-Aktiv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aceeu.cz/getmedia/003217c0-2c21-437a-b4d0-a9e4ee4a29e7/Uzemni-studie-verejneho-prostranstvi-3-11.2015.pdf?ext=.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38FE-028B-458B-970B-776D4884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4029</Words>
  <Characters>23772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mlejnek</cp:lastModifiedBy>
  <cp:revision>2</cp:revision>
  <cp:lastPrinted>2016-02-05T14:09:00Z</cp:lastPrinted>
  <dcterms:created xsi:type="dcterms:W3CDTF">2016-03-22T07:47:00Z</dcterms:created>
  <dcterms:modified xsi:type="dcterms:W3CDTF">2016-03-22T07:47:00Z</dcterms:modified>
</cp:coreProperties>
</file>