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A46B" w14:textId="77777777" w:rsidR="00664B54" w:rsidRDefault="00664B54">
      <w:pPr>
        <w:spacing w:line="240" w:lineRule="auto"/>
        <w:ind w:left="720" w:right="522"/>
        <w:rPr>
          <w:rFonts w:ascii="Readex Pro" w:eastAsia="Readex Pro" w:hAnsi="Readex Pro" w:cs="Readex Pro"/>
          <w:b/>
          <w:bCs/>
          <w:color w:val="210768"/>
          <w:sz w:val="10"/>
          <w:szCs w:val="10"/>
        </w:rPr>
      </w:pPr>
    </w:p>
    <w:p w14:paraId="5BFD657A" w14:textId="77777777" w:rsidR="00664B54" w:rsidRDefault="00000000">
      <w:pPr>
        <w:pStyle w:val="Nadpis1"/>
        <w:ind w:left="720"/>
        <w:rPr>
          <w:b/>
          <w:bCs/>
          <w:color w:val="210768"/>
        </w:rPr>
      </w:pPr>
      <w:r>
        <w:rPr>
          <w:b/>
          <w:bCs/>
          <w:color w:val="210768"/>
        </w:rPr>
        <w:t xml:space="preserve">Věřící poprvé oslaví liturgickou památku blahoslavených Jana Buly a Václava </w:t>
      </w:r>
      <w:proofErr w:type="spellStart"/>
      <w:r>
        <w:rPr>
          <w:b/>
          <w:bCs/>
          <w:color w:val="210768"/>
        </w:rPr>
        <w:t>Drboly</w:t>
      </w:r>
      <w:proofErr w:type="spellEnd"/>
      <w:r>
        <w:rPr>
          <w:b/>
          <w:bCs/>
          <w:color w:val="210768"/>
        </w:rPr>
        <w:t>, připadá na 17. června</w:t>
      </w:r>
    </w:p>
    <w:p w14:paraId="232AD389" w14:textId="77777777" w:rsidR="00664B5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b/>
          <w:bCs/>
          <w:color w:val="210768"/>
        </w:rPr>
      </w:pPr>
      <w:r>
        <w:rPr>
          <w:rFonts w:ascii="Cambria" w:eastAsia="Cambria" w:hAnsi="Cambria" w:cs="Cambria"/>
          <w:b/>
          <w:bCs/>
          <w:color w:val="210768"/>
        </w:rPr>
        <w:t xml:space="preserve">Věřící si letos vůbec poprvé připomenou liturgickou památku nových českých blahoslavených Jana Buly a Václava </w:t>
      </w:r>
      <w:proofErr w:type="spellStart"/>
      <w:r>
        <w:rPr>
          <w:rFonts w:ascii="Cambria" w:eastAsia="Cambria" w:hAnsi="Cambria" w:cs="Cambria"/>
          <w:b/>
          <w:bCs/>
          <w:color w:val="210768"/>
        </w:rPr>
        <w:t>Drboly</w:t>
      </w:r>
      <w:proofErr w:type="spellEnd"/>
      <w:r>
        <w:rPr>
          <w:rFonts w:ascii="Cambria" w:eastAsia="Cambria" w:hAnsi="Cambria" w:cs="Cambria"/>
          <w:b/>
          <w:bCs/>
          <w:color w:val="210768"/>
        </w:rPr>
        <w:t xml:space="preserve">. Připadá na středu 17. června. V katedrále sv. Petra a Pavla v Brně bude při této příležitosti od 17:30 sloužit mši svatou diecézní biskup Pavel </w:t>
      </w:r>
      <w:proofErr w:type="spellStart"/>
      <w:r>
        <w:rPr>
          <w:rFonts w:ascii="Cambria" w:eastAsia="Cambria" w:hAnsi="Cambria" w:cs="Cambria"/>
          <w:b/>
          <w:bCs/>
          <w:color w:val="210768"/>
        </w:rPr>
        <w:t>Konzbul</w:t>
      </w:r>
      <w:proofErr w:type="spellEnd"/>
      <w:r>
        <w:rPr>
          <w:rFonts w:ascii="Cambria" w:eastAsia="Cambria" w:hAnsi="Cambria" w:cs="Cambria"/>
          <w:b/>
          <w:bCs/>
          <w:color w:val="210768"/>
        </w:rPr>
        <w:t>. Zástupci několika farností a institucí si zde také převezmou relikvie nových blahořečených, které následně uloží ve svých kostelích a kaplích.</w:t>
      </w:r>
    </w:p>
    <w:p w14:paraId="3D01FCEC" w14:textId="77777777" w:rsidR="00664B54" w:rsidRDefault="00664B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b/>
          <w:bCs/>
          <w:color w:val="210768"/>
        </w:rPr>
      </w:pPr>
    </w:p>
    <w:p w14:paraId="1050AE86" w14:textId="07F9E14C" w:rsidR="00664B5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color w:val="210768"/>
        </w:rPr>
      </w:pPr>
      <w:r>
        <w:rPr>
          <w:rFonts w:ascii="Cambria" w:eastAsia="Cambria" w:hAnsi="Cambria" w:cs="Cambria"/>
          <w:color w:val="210768"/>
        </w:rPr>
        <w:t xml:space="preserve">Ve středu, pouhých 11 dní po slavnosti blahořečení na brněnském výstavišti, si věřící liturgickou památku blahoslavených Jana Buly a Václava </w:t>
      </w:r>
      <w:proofErr w:type="spellStart"/>
      <w:r>
        <w:rPr>
          <w:rFonts w:ascii="Cambria" w:eastAsia="Cambria" w:hAnsi="Cambria" w:cs="Cambria"/>
          <w:color w:val="210768"/>
        </w:rPr>
        <w:t>Drboly</w:t>
      </w:r>
      <w:proofErr w:type="spellEnd"/>
      <w:r>
        <w:rPr>
          <w:rFonts w:ascii="Cambria" w:eastAsia="Cambria" w:hAnsi="Cambria" w:cs="Cambria"/>
          <w:color w:val="210768"/>
        </w:rPr>
        <w:t xml:space="preserve"> připomenou vůbec poprvé. Její datum 17. června nebylo zvoleno náhodně. Obvykle se u mučedníků stanovuje památka na den jejich smrti, který věřící vnímají jako narození pro nebe. Jan Bula a Václav </w:t>
      </w:r>
      <w:proofErr w:type="spellStart"/>
      <w:r>
        <w:rPr>
          <w:rFonts w:ascii="Cambria" w:eastAsia="Cambria" w:hAnsi="Cambria" w:cs="Cambria"/>
          <w:color w:val="210768"/>
        </w:rPr>
        <w:t>Drbola</w:t>
      </w:r>
      <w:proofErr w:type="spellEnd"/>
      <w:r>
        <w:rPr>
          <w:rFonts w:ascii="Cambria" w:eastAsia="Cambria" w:hAnsi="Cambria" w:cs="Cambria"/>
          <w:color w:val="210768"/>
        </w:rPr>
        <w:t xml:space="preserve"> však nezemřeli ve stejný den, proto bylo v jejich případě potřeba hledat jiné datum. Dne 15. června 1949 rozeslali čeští a moravští biskupové pastýřský list, v němž upozornili na stále sílící zásahy komunistického režimu do života a poslání církve. O čtyři dny později jej oba kněží navzdory zákazu přečetli ve svých farnostech a projevili tím mimořádnou odvahu a věrnost své službě. </w:t>
      </w:r>
      <w:r>
        <w:rPr>
          <w:rFonts w:ascii="Cambria" w:eastAsia="Cambria" w:hAnsi="Cambria" w:cs="Cambria"/>
          <w:i/>
          <w:iCs/>
          <w:color w:val="210768"/>
        </w:rPr>
        <w:t>„Protože dny 15. a 19. června byly v liturgickém kalendáři již obsazeny,</w:t>
      </w:r>
      <w:r w:rsidR="005F04FA">
        <w:rPr>
          <w:rFonts w:ascii="Cambria" w:eastAsia="Cambria" w:hAnsi="Cambria" w:cs="Cambria"/>
          <w:i/>
          <w:iCs/>
          <w:color w:val="210768"/>
        </w:rPr>
        <w:t xml:space="preserve"> zvolili</w:t>
      </w:r>
      <w:r>
        <w:rPr>
          <w:rFonts w:ascii="Cambria" w:eastAsia="Cambria" w:hAnsi="Cambria" w:cs="Cambria"/>
          <w:i/>
          <w:iCs/>
          <w:color w:val="210768"/>
        </w:rPr>
        <w:t xml:space="preserve"> jsme jako datum společné liturgické památky 17. červen, tedy den mezi těmito dvěma významnými událostmi. </w:t>
      </w:r>
      <w:r>
        <w:rPr>
          <w:rFonts w:ascii="Cambria" w:eastAsia="Cambria" w:hAnsi="Cambria" w:cs="Cambria"/>
          <w:i/>
          <w:iCs/>
          <w:color w:val="210768"/>
          <w:highlight w:val="white"/>
        </w:rPr>
        <w:t xml:space="preserve">Dne 17. června 1951 byl navíc zatčen Václav </w:t>
      </w:r>
      <w:proofErr w:type="spellStart"/>
      <w:r>
        <w:rPr>
          <w:rFonts w:ascii="Cambria" w:eastAsia="Cambria" w:hAnsi="Cambria" w:cs="Cambria"/>
          <w:i/>
          <w:iCs/>
          <w:color w:val="210768"/>
          <w:highlight w:val="white"/>
        </w:rPr>
        <w:t>Drbola</w:t>
      </w:r>
      <w:proofErr w:type="spellEnd"/>
      <w:r>
        <w:rPr>
          <w:rFonts w:ascii="Cambria" w:eastAsia="Cambria" w:hAnsi="Cambria" w:cs="Cambria"/>
          <w:i/>
          <w:iCs/>
          <w:color w:val="210768"/>
          <w:highlight w:val="white"/>
        </w:rPr>
        <w:t xml:space="preserve">, čímž začala jeho bezprostřední cesta k mučednictví. </w:t>
      </w:r>
      <w:r>
        <w:rPr>
          <w:rFonts w:ascii="Cambria" w:eastAsia="Cambria" w:hAnsi="Cambria" w:cs="Cambria"/>
          <w:i/>
          <w:iCs/>
          <w:color w:val="210768"/>
        </w:rPr>
        <w:t xml:space="preserve"> Liturgická památka připomíná nejen věrnost Jana a Václava církvi v době komunistického pronásledování, ale také odvahu všech lidí, kteří zůstali věrní Kristu navzdory hrozbám, které je čekaly,” </w:t>
      </w:r>
      <w:r>
        <w:rPr>
          <w:rFonts w:ascii="Cambria" w:eastAsia="Cambria" w:hAnsi="Cambria" w:cs="Cambria"/>
          <w:color w:val="210768"/>
        </w:rPr>
        <w:t xml:space="preserve">vysvětluje </w:t>
      </w:r>
      <w:proofErr w:type="spellStart"/>
      <w:r>
        <w:rPr>
          <w:rFonts w:ascii="Cambria" w:eastAsia="Cambria" w:hAnsi="Cambria" w:cs="Cambria"/>
          <w:color w:val="210768"/>
        </w:rPr>
        <w:t>Mons</w:t>
      </w:r>
      <w:proofErr w:type="spellEnd"/>
      <w:r>
        <w:rPr>
          <w:rFonts w:ascii="Cambria" w:eastAsia="Cambria" w:hAnsi="Cambria" w:cs="Cambria"/>
          <w:color w:val="210768"/>
        </w:rPr>
        <w:t xml:space="preserve">. Karel </w:t>
      </w:r>
      <w:proofErr w:type="spellStart"/>
      <w:r>
        <w:rPr>
          <w:rFonts w:ascii="Cambria" w:eastAsia="Cambria" w:hAnsi="Cambria" w:cs="Cambria"/>
          <w:color w:val="210768"/>
        </w:rPr>
        <w:t>Orlita</w:t>
      </w:r>
      <w:proofErr w:type="spellEnd"/>
      <w:r>
        <w:rPr>
          <w:rFonts w:ascii="Cambria" w:eastAsia="Cambria" w:hAnsi="Cambria" w:cs="Cambria"/>
          <w:color w:val="210768"/>
        </w:rPr>
        <w:t>, vedoucí diecézní fáze procesu blahořečení.</w:t>
      </w:r>
    </w:p>
    <w:p w14:paraId="0243F46B" w14:textId="77777777" w:rsidR="00664B54" w:rsidRDefault="00664B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color w:val="210768"/>
        </w:rPr>
      </w:pPr>
    </w:p>
    <w:p w14:paraId="04046705" w14:textId="77777777" w:rsidR="00664B5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color w:val="210768"/>
        </w:rPr>
      </w:pPr>
      <w:r>
        <w:rPr>
          <w:rFonts w:ascii="Cambria" w:eastAsia="Cambria" w:hAnsi="Cambria" w:cs="Cambria"/>
          <w:color w:val="210768"/>
        </w:rPr>
        <w:t xml:space="preserve">Mše svatá v brněnské katedrále 17. června začne v 17:30 a sloužit ji bude brněnský biskup Pavel </w:t>
      </w:r>
      <w:proofErr w:type="spellStart"/>
      <w:r>
        <w:rPr>
          <w:rFonts w:ascii="Cambria" w:eastAsia="Cambria" w:hAnsi="Cambria" w:cs="Cambria"/>
          <w:color w:val="210768"/>
        </w:rPr>
        <w:t>Konzbul</w:t>
      </w:r>
      <w:proofErr w:type="spellEnd"/>
      <w:r>
        <w:rPr>
          <w:rFonts w:ascii="Cambria" w:eastAsia="Cambria" w:hAnsi="Cambria" w:cs="Cambria"/>
          <w:color w:val="210768"/>
        </w:rPr>
        <w:t>. Věřící budou mít možnost uctít ostatky obou blahoslavených a bohoslužbu bude možné živě sledovat také prostřednictvím YouTube kanálu katedrály nebo si poslechnout živý přenos na radiu Proglas.</w:t>
      </w:r>
    </w:p>
    <w:p w14:paraId="37F0DC7F" w14:textId="77777777" w:rsidR="00664B54" w:rsidRDefault="00664B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color w:val="210768"/>
        </w:rPr>
      </w:pPr>
    </w:p>
    <w:p w14:paraId="2E47CF05" w14:textId="20E2C030" w:rsidR="00664B5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color w:val="210768"/>
        </w:rPr>
      </w:pPr>
      <w:r>
        <w:rPr>
          <w:rFonts w:ascii="Cambria" w:eastAsia="Cambria" w:hAnsi="Cambria" w:cs="Cambria"/>
          <w:b/>
          <w:bCs/>
          <w:color w:val="210768"/>
        </w:rPr>
        <w:t>Relikvie zamíří do farností i do Říma</w:t>
      </w:r>
      <w:r>
        <w:rPr>
          <w:rFonts w:ascii="Cambria" w:eastAsia="Cambria" w:hAnsi="Cambria" w:cs="Cambria"/>
          <w:b/>
          <w:bCs/>
          <w:color w:val="210768"/>
        </w:rPr>
        <w:br/>
      </w:r>
      <w:r>
        <w:rPr>
          <w:rFonts w:ascii="Cambria" w:eastAsia="Cambria" w:hAnsi="Cambria" w:cs="Cambria"/>
          <w:color w:val="210768"/>
        </w:rPr>
        <w:t>Hlavní relikviář s ostatky blahoslavených od akademického sochaře Otmara Olivy je do října umístěn v boční kapli brněnské katedrály, poté se natrvalo přesune do Jaroměřic nad Rokytnou. O relikvie ale projevily zájem i další farnosti a instituce. K polovině června eviduje Biskupství brněnské celkem 2</w:t>
      </w:r>
      <w:r w:rsidR="005F04FA">
        <w:rPr>
          <w:rFonts w:ascii="Cambria" w:eastAsia="Cambria" w:hAnsi="Cambria" w:cs="Cambria"/>
          <w:color w:val="210768"/>
        </w:rPr>
        <w:t>6</w:t>
      </w:r>
      <w:r>
        <w:rPr>
          <w:rFonts w:ascii="Cambria" w:eastAsia="Cambria" w:hAnsi="Cambria" w:cs="Cambria"/>
          <w:color w:val="210768"/>
        </w:rPr>
        <w:t xml:space="preserve"> žádostí.</w:t>
      </w:r>
    </w:p>
    <w:p w14:paraId="13DDD1AE" w14:textId="77777777" w:rsidR="00664B54" w:rsidRDefault="00664B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color w:val="210768"/>
        </w:rPr>
      </w:pPr>
    </w:p>
    <w:p w14:paraId="3FC1B20A" w14:textId="5EB6A86A" w:rsidR="00664B5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mbria" w:eastAsia="Cambria" w:hAnsi="Cambria" w:cs="Cambria"/>
          <w:b/>
          <w:bCs/>
          <w:color w:val="210768"/>
          <w:sz w:val="15"/>
          <w:szCs w:val="15"/>
        </w:rPr>
      </w:pPr>
      <w:r>
        <w:rPr>
          <w:rFonts w:ascii="Cambria" w:eastAsia="Cambria" w:hAnsi="Cambria" w:cs="Cambria"/>
          <w:color w:val="210768"/>
        </w:rPr>
        <w:t xml:space="preserve">Část relikvií již byla předána, další si jejich příjemci převezmou právě </w:t>
      </w:r>
      <w:r w:rsidR="005F04FA">
        <w:rPr>
          <w:rFonts w:ascii="Cambria" w:eastAsia="Cambria" w:hAnsi="Cambria" w:cs="Cambria"/>
          <w:color w:val="210768"/>
        </w:rPr>
        <w:t>v den</w:t>
      </w:r>
      <w:r>
        <w:rPr>
          <w:rFonts w:ascii="Cambria" w:eastAsia="Cambria" w:hAnsi="Cambria" w:cs="Cambria"/>
          <w:color w:val="210768"/>
        </w:rPr>
        <w:t xml:space="preserve"> první liturgické památ</w:t>
      </w:r>
      <w:r w:rsidR="005F04FA">
        <w:rPr>
          <w:rFonts w:ascii="Cambria" w:eastAsia="Cambria" w:hAnsi="Cambria" w:cs="Cambria"/>
          <w:color w:val="210768"/>
        </w:rPr>
        <w:t>ky po skončení mše</w:t>
      </w:r>
      <w:r>
        <w:rPr>
          <w:rFonts w:ascii="Cambria" w:eastAsia="Cambria" w:hAnsi="Cambria" w:cs="Cambria"/>
          <w:color w:val="210768"/>
        </w:rPr>
        <w:t xml:space="preserve"> v katedrále. To se týká římskokatolických farností Brno-Lesná, Vratěnín, Čučice a Židlochovice, dále Řeckokatolické farnosti u sv. Leopolda, Sekulárního institutu Servi </w:t>
      </w:r>
      <w:proofErr w:type="spellStart"/>
      <w:r>
        <w:rPr>
          <w:rFonts w:ascii="Cambria" w:eastAsia="Cambria" w:hAnsi="Cambria" w:cs="Cambria"/>
          <w:color w:val="210768"/>
        </w:rPr>
        <w:t>della</w:t>
      </w:r>
      <w:proofErr w:type="spellEnd"/>
      <w:r>
        <w:rPr>
          <w:rFonts w:ascii="Cambria" w:eastAsia="Cambria" w:hAnsi="Cambria" w:cs="Cambria"/>
          <w:color w:val="210768"/>
        </w:rPr>
        <w:t xml:space="preserve"> </w:t>
      </w:r>
      <w:proofErr w:type="spellStart"/>
      <w:r>
        <w:rPr>
          <w:rFonts w:ascii="Cambria" w:eastAsia="Cambria" w:hAnsi="Cambria" w:cs="Cambria"/>
          <w:color w:val="210768"/>
        </w:rPr>
        <w:t>Sofferenza</w:t>
      </w:r>
      <w:proofErr w:type="spellEnd"/>
      <w:r>
        <w:rPr>
          <w:rFonts w:ascii="Cambria" w:eastAsia="Cambria" w:hAnsi="Cambria" w:cs="Cambria"/>
          <w:color w:val="210768"/>
        </w:rPr>
        <w:t xml:space="preserve"> a Biskupského gymnázia v Brně. Relikvie budou dále umístěny ve farnostech Babice, Šebkovice, Moutnice, Jihlava, Chlum u Třebíče, Starovičky, Lukov, Moravské Budějovice, Rokytnice nad Rokytnou, Vysoké Mýto, Dražovice, Bučovice, Brno-Bystrc, Znojmo-Louka či Žďár nad Sázavou. Relikvie zamíří také do kněžského semináře </w:t>
      </w:r>
      <w:proofErr w:type="spellStart"/>
      <w:r>
        <w:rPr>
          <w:rFonts w:ascii="Cambria" w:eastAsia="Cambria" w:hAnsi="Cambria" w:cs="Cambria"/>
          <w:color w:val="210768"/>
        </w:rPr>
        <w:t>Nepomuceno</w:t>
      </w:r>
      <w:proofErr w:type="spellEnd"/>
      <w:r>
        <w:rPr>
          <w:rFonts w:ascii="Cambria" w:eastAsia="Cambria" w:hAnsi="Cambria" w:cs="Cambria"/>
          <w:color w:val="210768"/>
        </w:rPr>
        <w:t xml:space="preserve"> v Římě, do </w:t>
      </w:r>
      <w:proofErr w:type="spellStart"/>
      <w:r>
        <w:rPr>
          <w:rFonts w:ascii="Cambria" w:eastAsia="Cambria" w:hAnsi="Cambria" w:cs="Cambria"/>
          <w:color w:val="210768"/>
        </w:rPr>
        <w:t>Dikasteria</w:t>
      </w:r>
      <w:proofErr w:type="spellEnd"/>
      <w:r>
        <w:rPr>
          <w:rFonts w:ascii="Cambria" w:eastAsia="Cambria" w:hAnsi="Cambria" w:cs="Cambria"/>
          <w:color w:val="210768"/>
        </w:rPr>
        <w:t xml:space="preserve"> pro kauzy svatých ve Vatikánu nebo do Církevního domova mládeže </w:t>
      </w:r>
      <w:proofErr w:type="spellStart"/>
      <w:r>
        <w:rPr>
          <w:rFonts w:ascii="Cambria" w:eastAsia="Cambria" w:hAnsi="Cambria" w:cs="Cambria"/>
          <w:color w:val="210768"/>
        </w:rPr>
        <w:t>Petrinum</w:t>
      </w:r>
      <w:proofErr w:type="spellEnd"/>
      <w:r>
        <w:rPr>
          <w:rFonts w:ascii="Cambria" w:eastAsia="Cambria" w:hAnsi="Cambria" w:cs="Cambria"/>
          <w:color w:val="210768"/>
        </w:rPr>
        <w:t>.</w:t>
      </w:r>
    </w:p>
    <w:p w14:paraId="04D7FB75" w14:textId="77777777" w:rsidR="00664B54" w:rsidRDefault="00664B54">
      <w:pPr>
        <w:spacing w:before="240" w:after="240" w:line="240" w:lineRule="auto"/>
        <w:ind w:left="720"/>
        <w:jc w:val="both"/>
        <w:rPr>
          <w:rFonts w:ascii="Cambria" w:eastAsia="Cambria" w:hAnsi="Cambria" w:cs="Cambria"/>
          <w:b/>
          <w:bCs/>
          <w:color w:val="210768"/>
          <w:sz w:val="15"/>
          <w:szCs w:val="15"/>
        </w:rPr>
      </w:pPr>
    </w:p>
    <w:p w14:paraId="6CD67877" w14:textId="77777777" w:rsidR="00664B54" w:rsidRDefault="00000000">
      <w:pPr>
        <w:spacing w:before="240" w:after="240" w:line="240" w:lineRule="auto"/>
        <w:ind w:left="720"/>
        <w:jc w:val="both"/>
        <w:rPr>
          <w:rFonts w:ascii="Literata" w:eastAsia="Literata" w:hAnsi="Literata" w:cs="Literata"/>
          <w:b/>
          <w:bCs/>
          <w:color w:val="210768"/>
          <w:sz w:val="16"/>
          <w:szCs w:val="16"/>
        </w:rPr>
      </w:pPr>
      <w:r>
        <w:rPr>
          <w:rFonts w:ascii="Literata" w:eastAsia="Literata" w:hAnsi="Literata" w:cs="Literata"/>
          <w:b/>
          <w:bCs/>
          <w:color w:val="210768"/>
          <w:sz w:val="16"/>
          <w:szCs w:val="16"/>
        </w:rPr>
        <w:lastRenderedPageBreak/>
        <w:t>Kontakt pro média:</w:t>
      </w:r>
    </w:p>
    <w:p w14:paraId="7AD85993" w14:textId="77777777" w:rsidR="00664B54" w:rsidRDefault="00000000">
      <w:pPr>
        <w:spacing w:before="240" w:after="240" w:line="240" w:lineRule="auto"/>
        <w:ind w:left="720"/>
        <w:jc w:val="both"/>
        <w:rPr>
          <w:rFonts w:ascii="Literata" w:eastAsia="Literata" w:hAnsi="Literata" w:cs="Literata"/>
          <w:b/>
          <w:bCs/>
          <w:color w:val="210768"/>
          <w:sz w:val="16"/>
          <w:szCs w:val="16"/>
        </w:rPr>
      </w:pPr>
      <w:r>
        <w:rPr>
          <w:rFonts w:ascii="Literata" w:eastAsia="Literata" w:hAnsi="Literata" w:cs="Literata"/>
          <w:b/>
          <w:bCs/>
          <w:color w:val="210768"/>
          <w:sz w:val="16"/>
          <w:szCs w:val="16"/>
        </w:rPr>
        <w:t>Anežka Benešová</w:t>
      </w:r>
    </w:p>
    <w:p w14:paraId="58F14F44" w14:textId="77777777" w:rsidR="00664B54" w:rsidRDefault="00000000">
      <w:pPr>
        <w:ind w:right="522" w:firstLine="720"/>
        <w:rPr>
          <w:rFonts w:ascii="Literata" w:eastAsia="Literata" w:hAnsi="Literata" w:cs="Literata"/>
          <w:color w:val="210768"/>
          <w:sz w:val="16"/>
          <w:szCs w:val="16"/>
        </w:rPr>
      </w:pPr>
      <w:r>
        <w:rPr>
          <w:rFonts w:ascii="Literata" w:eastAsia="Literata" w:hAnsi="Literata" w:cs="Literata"/>
          <w:color w:val="210768"/>
          <w:sz w:val="16"/>
          <w:szCs w:val="16"/>
        </w:rPr>
        <w:t>tisková mluvčí Biskupství brněnského</w:t>
      </w:r>
    </w:p>
    <w:p w14:paraId="3C7ACF13" w14:textId="77777777" w:rsidR="00664B54" w:rsidRDefault="00000000">
      <w:pPr>
        <w:ind w:right="522" w:firstLine="720"/>
        <w:rPr>
          <w:rFonts w:ascii="Literata" w:eastAsia="Literata" w:hAnsi="Literata" w:cs="Literata"/>
          <w:color w:val="210768"/>
          <w:sz w:val="16"/>
          <w:szCs w:val="16"/>
        </w:rPr>
      </w:pPr>
      <w:r>
        <w:rPr>
          <w:rFonts w:ascii="Literata" w:eastAsia="Literata" w:hAnsi="Literata" w:cs="Literata"/>
          <w:i/>
          <w:iCs/>
          <w:color w:val="210768"/>
          <w:sz w:val="16"/>
          <w:szCs w:val="16"/>
        </w:rPr>
        <w:t>E-mail:</w:t>
      </w:r>
      <w:r>
        <w:rPr>
          <w:rFonts w:ascii="Literata" w:eastAsia="Literata" w:hAnsi="Literata" w:cs="Literata"/>
          <w:color w:val="210768"/>
          <w:sz w:val="16"/>
          <w:szCs w:val="16"/>
        </w:rPr>
        <w:t xml:space="preserve"> </w:t>
      </w:r>
      <w:r>
        <w:rPr>
          <w:rFonts w:ascii="Literata" w:eastAsia="Literata" w:hAnsi="Literata" w:cs="Literata"/>
          <w:color w:val="210768"/>
          <w:sz w:val="16"/>
          <w:szCs w:val="16"/>
        </w:rPr>
        <w:tab/>
        <w:t>komunikace@biskupstvi.cz</w:t>
      </w:r>
    </w:p>
    <w:p w14:paraId="4E66F0E8" w14:textId="77777777" w:rsidR="00664B54" w:rsidRDefault="00000000">
      <w:pPr>
        <w:ind w:right="522" w:firstLine="720"/>
        <w:rPr>
          <w:rFonts w:ascii="Literata" w:eastAsia="Literata" w:hAnsi="Literata" w:cs="Literata"/>
          <w:color w:val="210768"/>
          <w:sz w:val="16"/>
          <w:szCs w:val="16"/>
        </w:rPr>
      </w:pPr>
      <w:r>
        <w:rPr>
          <w:rFonts w:ascii="Literata" w:eastAsia="Literata" w:hAnsi="Literata" w:cs="Literata"/>
          <w:i/>
          <w:iCs/>
          <w:color w:val="210768"/>
          <w:sz w:val="16"/>
          <w:szCs w:val="16"/>
        </w:rPr>
        <w:t>Tel.:</w:t>
      </w:r>
      <w:r>
        <w:rPr>
          <w:rFonts w:ascii="Literata" w:eastAsia="Literata" w:hAnsi="Literata" w:cs="Literata"/>
          <w:color w:val="210768"/>
          <w:sz w:val="16"/>
          <w:szCs w:val="16"/>
        </w:rPr>
        <w:t xml:space="preserve"> </w:t>
      </w:r>
      <w:r>
        <w:rPr>
          <w:rFonts w:ascii="Literata" w:eastAsia="Literata" w:hAnsi="Literata" w:cs="Literata"/>
          <w:color w:val="210768"/>
          <w:sz w:val="16"/>
          <w:szCs w:val="16"/>
        </w:rPr>
        <w:tab/>
        <w:t>728 218 227</w:t>
      </w:r>
    </w:p>
    <w:p w14:paraId="5E34C86D" w14:textId="77777777" w:rsidR="00664B54" w:rsidRDefault="00664B54">
      <w:pPr>
        <w:ind w:right="522"/>
        <w:rPr>
          <w:rFonts w:ascii="Literata" w:eastAsia="Literata" w:hAnsi="Literata" w:cs="Literata"/>
          <w:color w:val="210768"/>
          <w:sz w:val="16"/>
          <w:szCs w:val="16"/>
        </w:rPr>
      </w:pPr>
    </w:p>
    <w:sectPr w:rsidR="00664B54">
      <w:headerReference w:type="default" r:id="rId7"/>
      <w:footerReference w:type="default" r:id="rId8"/>
      <w:headerReference w:type="first" r:id="rId9"/>
      <w:pgSz w:w="11906" w:h="16838"/>
      <w:pgMar w:top="1559" w:right="1440" w:bottom="1111" w:left="1440" w:header="562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324E" w14:textId="77777777" w:rsidR="001E1C08" w:rsidRDefault="001E1C08">
      <w:pPr>
        <w:spacing w:line="240" w:lineRule="auto"/>
      </w:pPr>
      <w:r>
        <w:separator/>
      </w:r>
    </w:p>
  </w:endnote>
  <w:endnote w:type="continuationSeparator" w:id="0">
    <w:p w14:paraId="7F0F8C80" w14:textId="77777777" w:rsidR="001E1C08" w:rsidRDefault="001E1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632D623-C8CC-FA45-B419-256389A59B88}"/>
    <w:embedBold r:id="rId2" w:fontKey="{BFE6C9C4-C040-A14D-B454-7B04390B0CE4}"/>
    <w:embedItalic r:id="rId3" w:fontKey="{6A888955-6C84-2D4B-812F-78536A0873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B137758-E3E2-9B46-B31E-F8CD978E965D}"/>
  </w:font>
  <w:font w:name="Readex Pro">
    <w:altName w:val="Calibri"/>
    <w:panose1 w:val="020B0604020202020204"/>
    <w:charset w:val="00"/>
    <w:family w:val="auto"/>
    <w:pitch w:val="default"/>
    <w:embedRegular r:id="rId5" w:fontKey="{FA2AFB2D-A5B7-EF4F-A015-5A6DF1345524}"/>
    <w:embedBold r:id="rId6" w:fontKey="{D2E8DF19-3C73-4945-84DE-B3502D7FF6E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63895E80-F344-114D-8E70-C1D255B01174}"/>
    <w:embedBold r:id="rId8" w:fontKey="{0A7AC9A7-4D61-874B-A59C-7792A3C65B51}"/>
    <w:embedItalic r:id="rId9" w:fontKey="{4BEB9805-9F3B-E848-AE5B-B1AF6D0B49C2}"/>
  </w:font>
  <w:font w:name="Literata">
    <w:altName w:val="Calibri"/>
    <w:panose1 w:val="020B0604020202020204"/>
    <w:charset w:val="00"/>
    <w:family w:val="auto"/>
    <w:pitch w:val="default"/>
    <w:embedRegular r:id="rId10" w:fontKey="{8C702B05-96D1-C141-B81A-A1941B661842}"/>
    <w:embedBold r:id="rId11" w:fontKey="{237BAB7F-1EB9-CE4E-843B-E6002EDD99BF}"/>
    <w:embedItalic r:id="rId12" w:fontKey="{77001042-4655-4C48-94A0-5DB95889480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C6E42F8D-3F2B-5C42-8222-902BC4863D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2AAF" w14:textId="77777777" w:rsidR="00664B54" w:rsidRDefault="00000000">
    <w:pPr>
      <w:tabs>
        <w:tab w:val="left" w:pos="989"/>
      </w:tabs>
      <w:spacing w:after="200"/>
      <w:ind w:left="566" w:right="-40"/>
      <w:rPr>
        <w:rFonts w:ascii="Readex Pro" w:eastAsia="Readex Pro" w:hAnsi="Readex Pro" w:cs="Readex Pro"/>
        <w:color w:val="210768"/>
      </w:rPr>
    </w:pPr>
    <w:bookmarkStart w:id="0" w:name="_heading=h.by9lan1j3zu3" w:colFirst="0" w:colLast="0"/>
    <w:bookmarkEnd w:id="0"/>
    <w:r>
      <w:rPr>
        <w:rFonts w:ascii="Readex Pro" w:eastAsia="Readex Pro" w:hAnsi="Readex Pro" w:cs="Readex Pro"/>
        <w:color w:val="210768"/>
        <w:sz w:val="18"/>
        <w:szCs w:val="18"/>
      </w:rPr>
      <w:t xml:space="preserve">Telefon: </w:t>
    </w:r>
    <w:r>
      <w:rPr>
        <w:rFonts w:ascii="Readex Pro" w:eastAsia="Readex Pro" w:hAnsi="Readex Pro" w:cs="Readex Pro"/>
        <w:color w:val="210768"/>
        <w:sz w:val="18"/>
        <w:szCs w:val="18"/>
      </w:rPr>
      <w:tab/>
      <w:t>+420 728 218 227</w:t>
    </w:r>
    <w:r>
      <w:rPr>
        <w:rFonts w:ascii="Readex Pro" w:eastAsia="Readex Pro" w:hAnsi="Readex Pro" w:cs="Readex Pro"/>
        <w:color w:val="210768"/>
        <w:sz w:val="18"/>
        <w:szCs w:val="18"/>
      </w:rPr>
      <w:tab/>
    </w:r>
    <w:r>
      <w:rPr>
        <w:rFonts w:ascii="Readex Pro" w:eastAsia="Readex Pro" w:hAnsi="Readex Pro" w:cs="Readex Pro"/>
        <w:color w:val="210768"/>
        <w:sz w:val="18"/>
        <w:szCs w:val="18"/>
      </w:rPr>
      <w:tab/>
    </w:r>
    <w:r>
      <w:rPr>
        <w:rFonts w:ascii="Readex Pro" w:eastAsia="Readex Pro" w:hAnsi="Readex Pro" w:cs="Readex Pro"/>
        <w:color w:val="210768"/>
        <w:sz w:val="18"/>
        <w:szCs w:val="18"/>
      </w:rPr>
      <w:tab/>
    </w:r>
    <w:hyperlink r:id="rId1">
      <w:r>
        <w:rPr>
          <w:rFonts w:ascii="Readex Pro" w:eastAsia="Readex Pro" w:hAnsi="Readex Pro" w:cs="Readex Pro"/>
          <w:color w:val="210768"/>
          <w:sz w:val="18"/>
          <w:szCs w:val="18"/>
        </w:rPr>
        <w:t>www.biskupstvi.cz</w:t>
      </w:r>
    </w:hyperlink>
    <w:r>
      <w:rPr>
        <w:rFonts w:ascii="Readex Pro" w:eastAsia="Readex Pro" w:hAnsi="Readex Pro" w:cs="Readex Pro"/>
        <w:color w:val="210768"/>
        <w:sz w:val="18"/>
        <w:szCs w:val="18"/>
      </w:rPr>
      <w:br/>
      <w:t xml:space="preserve">E-mail: </w:t>
    </w:r>
    <w:r>
      <w:rPr>
        <w:rFonts w:ascii="Readex Pro" w:eastAsia="Readex Pro" w:hAnsi="Readex Pro" w:cs="Readex Pro"/>
        <w:color w:val="210768"/>
        <w:sz w:val="18"/>
        <w:szCs w:val="18"/>
      </w:rPr>
      <w:tab/>
    </w:r>
    <w:hyperlink r:id="rId2">
      <w:r>
        <w:rPr>
          <w:rFonts w:ascii="Readex Pro" w:eastAsia="Readex Pro" w:hAnsi="Readex Pro" w:cs="Readex Pro"/>
          <w:color w:val="210768"/>
          <w:sz w:val="18"/>
          <w:szCs w:val="18"/>
        </w:rPr>
        <w:t>komunikace@biskupstvi.cz</w:t>
      </w:r>
    </w:hyperlink>
    <w:r>
      <w:rPr>
        <w:rFonts w:ascii="Readex Pro" w:eastAsia="Readex Pro" w:hAnsi="Readex Pro" w:cs="Readex Pro"/>
        <w:color w:val="210768"/>
        <w:sz w:val="18"/>
        <w:szCs w:val="18"/>
      </w:rPr>
      <w:tab/>
    </w:r>
    <w:r>
      <w:rPr>
        <w:rFonts w:ascii="Readex Pro" w:eastAsia="Readex Pro" w:hAnsi="Readex Pro" w:cs="Readex Pro"/>
        <w:color w:val="210768"/>
        <w:sz w:val="18"/>
        <w:szCs w:val="18"/>
      </w:rPr>
      <w:tab/>
      <w:t>IČ: 0445142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63B3" w14:textId="77777777" w:rsidR="001E1C08" w:rsidRDefault="001E1C08">
      <w:pPr>
        <w:spacing w:line="240" w:lineRule="auto"/>
      </w:pPr>
      <w:r>
        <w:separator/>
      </w:r>
    </w:p>
  </w:footnote>
  <w:footnote w:type="continuationSeparator" w:id="0">
    <w:p w14:paraId="09C0D3FE" w14:textId="77777777" w:rsidR="001E1C08" w:rsidRDefault="001E1C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D617" w14:textId="77777777" w:rsidR="00664B54" w:rsidRDefault="00000000">
    <w:pPr>
      <w:spacing w:line="240" w:lineRule="auto"/>
      <w:ind w:right="522"/>
      <w:rPr>
        <w:rFonts w:ascii="Readex Pro" w:eastAsia="Readex Pro" w:hAnsi="Readex Pro" w:cs="Readex Pro"/>
        <w:color w:val="210768"/>
      </w:rPr>
    </w:pPr>
    <w:r>
      <w:rPr>
        <w:rFonts w:ascii="Readex Pro" w:eastAsia="Readex Pro" w:hAnsi="Readex Pro" w:cs="Readex Pro"/>
        <w:noProof/>
        <w:color w:val="210768"/>
      </w:rPr>
      <w:drawing>
        <wp:anchor distT="0" distB="0" distL="0" distR="0" simplePos="0" relativeHeight="251658240" behindDoc="1" locked="0" layoutInCell="1" hidden="0" allowOverlap="1" wp14:anchorId="19A5FE94" wp14:editId="10243BB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9422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894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4346" w14:textId="77777777" w:rsidR="00664B54" w:rsidRDefault="00664B54">
    <w:pPr>
      <w:spacing w:line="240" w:lineRule="auto"/>
      <w:ind w:left="708" w:right="638"/>
      <w:jc w:val="right"/>
      <w:rPr>
        <w:rFonts w:ascii="Readex Pro" w:eastAsia="Readex Pro" w:hAnsi="Readex Pro" w:cs="Readex Pro"/>
        <w:color w:val="210768"/>
      </w:rPr>
    </w:pPr>
  </w:p>
  <w:p w14:paraId="70C2C904" w14:textId="77777777" w:rsidR="00664B54" w:rsidRDefault="00664B54">
    <w:pPr>
      <w:spacing w:line="240" w:lineRule="auto"/>
      <w:ind w:left="708" w:right="638"/>
      <w:jc w:val="right"/>
      <w:rPr>
        <w:rFonts w:ascii="Readex Pro" w:eastAsia="Readex Pro" w:hAnsi="Readex Pro" w:cs="Readex Pro"/>
        <w:color w:val="210768"/>
      </w:rPr>
    </w:pPr>
  </w:p>
  <w:p w14:paraId="7BA69091" w14:textId="77777777" w:rsidR="00664B54" w:rsidRDefault="00000000">
    <w:pPr>
      <w:spacing w:line="240" w:lineRule="auto"/>
      <w:ind w:left="708" w:right="522"/>
      <w:jc w:val="right"/>
      <w:rPr>
        <w:rFonts w:ascii="Readex Pro" w:eastAsia="Readex Pro" w:hAnsi="Readex Pro" w:cs="Readex Pro"/>
        <w:color w:val="210768"/>
      </w:rPr>
    </w:pPr>
    <w:r>
      <w:rPr>
        <w:rFonts w:ascii="Readex Pro" w:eastAsia="Readex Pro" w:hAnsi="Readex Pro" w:cs="Readex Pro"/>
        <w:color w:val="210768"/>
      </w:rPr>
      <w:t>TISKOVÁ ZPRÁVA</w:t>
    </w:r>
    <w:r>
      <w:rPr>
        <w:rFonts w:ascii="Readex Pro" w:eastAsia="Readex Pro" w:hAnsi="Readex Pro" w:cs="Readex Pro"/>
        <w:color w:val="210768"/>
      </w:rPr>
      <w:br/>
      <w:t>16. 6. 2026</w:t>
    </w:r>
  </w:p>
  <w:p w14:paraId="4004FD17" w14:textId="77777777" w:rsidR="00664B54" w:rsidRDefault="00000000">
    <w:r>
      <w:rPr>
        <w:noProof/>
      </w:rPr>
      <w:drawing>
        <wp:anchor distT="0" distB="0" distL="0" distR="0" simplePos="0" relativeHeight="251659264" behindDoc="1" locked="0" layoutInCell="1" hidden="0" allowOverlap="1" wp14:anchorId="591303E3" wp14:editId="49890EB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9422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894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B54"/>
    <w:rsid w:val="001E1C08"/>
    <w:rsid w:val="005F04FA"/>
    <w:rsid w:val="00664B54"/>
    <w:rsid w:val="00E8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E7F60D"/>
  <w15:docId w15:val="{561C21DB-035E-9145-A78B-89EB6B59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munikace@biskupstvi.cz" TargetMode="External"/><Relationship Id="rId1" Type="http://schemas.openxmlformats.org/officeDocument/2006/relationships/hyperlink" Target="http://www.biskupst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c84XWHFmNRVuUXp1wTN17+2YQ==">CgMxLjAyDmguYnk5bGFuMWozenUzOABqKQoUc3VnZ2VzdC5ob2NwOHRqcGxvcnoSEVZvanTEm2NoIEp1csOhc2VraisKFHN1Z2dlc3QuZzAzenY0cXYzbHZlEhNUZXJlemllIEJyZWluZGxvdsOhaikKFHN1Z2dlc3QubTEyaGM1eTVoOHJvEhFWb2p0xJtjaCBKdXLDoXNla3IhMVBTajhCaUQ3MU9wVXM4SEVLOUMxcHZxWk5IXzBnZjNF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Anežka Benešová</cp:lastModifiedBy>
  <cp:revision>2</cp:revision>
  <dcterms:created xsi:type="dcterms:W3CDTF">2026-06-16T11:49:00Z</dcterms:created>
  <dcterms:modified xsi:type="dcterms:W3CDTF">2026-06-16T11:53:00Z</dcterms:modified>
</cp:coreProperties>
</file>